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078AF" w14:textId="77777777" w:rsidR="00674E15" w:rsidRDefault="00000000">
      <w:pPr>
        <w:spacing w:after="80"/>
        <w:jc w:val="center"/>
        <w:rPr>
          <w:rFonts w:hint="eastAsia"/>
          <w:lang w:eastAsia="ja-JP"/>
        </w:rPr>
      </w:pPr>
      <w:r>
        <w:rPr>
          <w:b/>
          <w:color w:val="1B365D"/>
          <w:sz w:val="40"/>
          <w:lang w:eastAsia="ja-JP"/>
        </w:rPr>
        <w:t>日商PC検定 データ活用2級</w:t>
      </w:r>
    </w:p>
    <w:p w14:paraId="3F328C05" w14:textId="317ABB50" w:rsidR="00674E15" w:rsidRDefault="00000000">
      <w:pPr>
        <w:spacing w:after="320"/>
        <w:jc w:val="center"/>
        <w:rPr>
          <w:rFonts w:hint="eastAsia"/>
          <w:lang w:eastAsia="ja-JP"/>
        </w:rPr>
      </w:pPr>
      <w:r>
        <w:rPr>
          <w:color w:val="555555"/>
          <w:sz w:val="28"/>
          <w:lang w:eastAsia="ja-JP"/>
        </w:rPr>
        <w:t>完全攻略アドバイス</w:t>
      </w:r>
    </w:p>
    <w:p w14:paraId="1132695F" w14:textId="77777777" w:rsidR="00674E15" w:rsidRDefault="00000000">
      <w:pPr>
        <w:spacing w:after="320" w:line="300" w:lineRule="auto"/>
        <w:rPr>
          <w:rFonts w:hint="eastAsia"/>
          <w:lang w:eastAsia="ja-JP"/>
        </w:rPr>
      </w:pPr>
      <w:r>
        <w:rPr>
          <w:lang w:eastAsia="ja-JP"/>
        </w:rPr>
        <w:t>本ガイドは、日商PC検定「データ活用2級」の合格および実務でのデータ分析力の身に付けを目指す受講生・指導者のための完全マスター資料です。3級よりも大幅に高度化する複数シートのデータ統合、多重条件集計、管理会計手法（損益分岐点分析等）、応用グラフ作成、そして経営層・管理者へ提案する業務報告書作成テクニックを分かりやすく詳細に解説しています。</w:t>
      </w:r>
    </w:p>
    <w:p w14:paraId="560114E9" w14:textId="77777777" w:rsidR="00674E15" w:rsidRDefault="00000000">
      <w:pPr>
        <w:keepNext/>
        <w:pBdr>
          <w:bottom w:val="single" w:sz="14" w:space="4" w:color="1B365D"/>
        </w:pBdr>
        <w:spacing w:before="360" w:after="160"/>
        <w:rPr>
          <w:rFonts w:hint="eastAsia"/>
          <w:lang w:eastAsia="ja-JP"/>
        </w:rPr>
      </w:pPr>
      <w:r>
        <w:rPr>
          <w:b/>
          <w:color w:val="1B365D"/>
          <w:sz w:val="30"/>
          <w:lang w:eastAsia="ja-JP"/>
        </w:rPr>
        <w:t>第1章 データ活用2級合格に向けた効果的な勉強方法と学習の進め方</w:t>
      </w:r>
    </w:p>
    <w:p w14:paraId="028C1FB7" w14:textId="77777777" w:rsidR="00674E15" w:rsidRDefault="00000000">
      <w:pPr>
        <w:spacing w:after="160"/>
        <w:rPr>
          <w:rFonts w:hint="eastAsia"/>
          <w:lang w:eastAsia="ja-JP"/>
        </w:rPr>
      </w:pPr>
      <w:r>
        <w:rPr>
          <w:lang w:eastAsia="ja-JP"/>
        </w:rPr>
        <w:t>2級は、単なるExcel操作能力にとどまらず、「業務データベースの構築能力」「管理会計手法に基づく採算性分析」「意思決定を促すレポート作成力」が問われます。40分という厳しい実技時間内で完了させるための計画的な学習が不可欠です。</w:t>
      </w:r>
    </w:p>
    <w:p w14:paraId="54A966A0" w14:textId="77777777" w:rsidR="00674E15" w:rsidRDefault="00000000">
      <w:pPr>
        <w:keepNext/>
        <w:spacing w:before="280" w:after="120"/>
        <w:rPr>
          <w:rFonts w:hint="eastAsia"/>
          <w:lang w:eastAsia="ja-JP"/>
        </w:rPr>
      </w:pPr>
      <w:r>
        <w:rPr>
          <w:b/>
          <w:color w:val="2E5B88"/>
          <w:sz w:val="24"/>
          <w:lang w:eastAsia="ja-JP"/>
        </w:rPr>
        <w:t>1. 段階的学習ロードマップ（合格までの4ステップ）</w:t>
      </w:r>
    </w:p>
    <w:p w14:paraId="01D2FC58" w14:textId="77777777" w:rsidR="00674E15" w:rsidRDefault="00000000">
      <w:pPr>
        <w:spacing w:before="60" w:after="60"/>
        <w:ind w:left="288"/>
        <w:rPr>
          <w:rFonts w:hint="eastAsia"/>
          <w:lang w:eastAsia="ja-JP"/>
        </w:rPr>
      </w:pPr>
      <w:r>
        <w:rPr>
          <w:b/>
          <w:color w:val="1B365D"/>
          <w:sz w:val="19"/>
          <w:lang w:eastAsia="ja-JP"/>
        </w:rPr>
        <w:t>■ ステップ1：複数シート間のデータ照合・名寄せ統合の習得（第1週）：</w:t>
      </w:r>
      <w:r>
        <w:rPr>
          <w:sz w:val="19"/>
          <w:lang w:eastAsia="ja-JP"/>
        </w:rPr>
        <w:t>VLOOKUP関数やIFERROR関数を駆使し、外部csvや別シートのマスタと明細データをミスなく名寄せ統合し、分析用データベースを構築する技術を磨きます。</w:t>
      </w:r>
    </w:p>
    <w:p w14:paraId="16277BE3" w14:textId="77777777" w:rsidR="00674E15" w:rsidRDefault="00000000">
      <w:pPr>
        <w:spacing w:before="60" w:after="60"/>
        <w:ind w:left="288"/>
        <w:rPr>
          <w:rFonts w:hint="eastAsia"/>
          <w:lang w:eastAsia="ja-JP"/>
        </w:rPr>
      </w:pPr>
      <w:r>
        <w:rPr>
          <w:b/>
          <w:color w:val="1B365D"/>
          <w:sz w:val="19"/>
          <w:lang w:eastAsia="ja-JP"/>
        </w:rPr>
        <w:t>■ ステップ2：複数条件関数と管理会計公式の完全マスター（第2週）：</w:t>
      </w:r>
      <w:r>
        <w:rPr>
          <w:sz w:val="19"/>
          <w:lang w:eastAsia="ja-JP"/>
        </w:rPr>
        <w:t>SUMIFS / COUNTIFS / AVERAGEIFSによる多重条件集計と、粗利益率・限界利益・損益分岐点売上高（BEP）などの管理会計計算式をExcel数式として即座に組めるよう暗記・練習します。</w:t>
      </w:r>
    </w:p>
    <w:p w14:paraId="03C864A0" w14:textId="77777777" w:rsidR="00674E15" w:rsidRDefault="00000000">
      <w:pPr>
        <w:spacing w:before="60" w:after="60"/>
        <w:ind w:left="288"/>
        <w:rPr>
          <w:rFonts w:hint="eastAsia"/>
          <w:lang w:eastAsia="ja-JP"/>
        </w:rPr>
      </w:pPr>
      <w:r>
        <w:rPr>
          <w:b/>
          <w:color w:val="1B365D"/>
          <w:sz w:val="19"/>
          <w:lang w:eastAsia="ja-JP"/>
        </w:rPr>
        <w:t>■ ステップ3：ピボットテーブル応用・高度グラフの作成修得（第3週）：</w:t>
      </w:r>
      <w:r>
        <w:rPr>
          <w:sz w:val="19"/>
          <w:lang w:eastAsia="ja-JP"/>
        </w:rPr>
        <w:t>大量データのピボット集計（グループ化・構成比表示）、およびABC分析（パレート図）、レーダーチャート、散布図、第2軸複合グラフを正確かつ美しく作成する手順をマスターします。</w:t>
      </w:r>
    </w:p>
    <w:p w14:paraId="39C8F83C" w14:textId="77777777" w:rsidR="00674E15" w:rsidRDefault="00000000">
      <w:pPr>
        <w:spacing w:before="60" w:after="60"/>
        <w:ind w:left="288"/>
        <w:rPr>
          <w:rFonts w:hint="eastAsia"/>
          <w:lang w:eastAsia="ja-JP"/>
        </w:rPr>
      </w:pPr>
      <w:r>
        <w:rPr>
          <w:b/>
          <w:color w:val="1B365D"/>
          <w:sz w:val="19"/>
          <w:lang w:eastAsia="ja-JP"/>
        </w:rPr>
        <w:t>■ ステップ4：実技40分のタイムアタック＆業務報告書記述対策（第4週）：</w:t>
      </w:r>
      <w:r>
        <w:rPr>
          <w:sz w:val="19"/>
          <w:lang w:eastAsia="ja-JP"/>
        </w:rPr>
        <w:t>制限時間40分でデータ統合〜分析表〜グラフ〜所見文（問題点・原因・改善策）までを完成させる時間配分を練習します。併せて知識科目（15分・2級専門範囲）の過去問演習を行います。</w:t>
      </w:r>
    </w:p>
    <w:p w14:paraId="6DE7F2C8" w14:textId="77777777" w:rsidR="00674E15" w:rsidRDefault="00000000">
      <w:pPr>
        <w:keepNext/>
        <w:spacing w:before="280" w:after="120"/>
        <w:rPr>
          <w:rFonts w:hint="eastAsia"/>
          <w:lang w:eastAsia="ja-JP"/>
        </w:rPr>
      </w:pPr>
      <w:r>
        <w:rPr>
          <w:b/>
          <w:color w:val="2E5B88"/>
          <w:sz w:val="24"/>
          <w:lang w:eastAsia="ja-JP"/>
        </w:rPr>
        <w:lastRenderedPageBreak/>
        <w:t>2. 時間配分のゴールイメージ（実技40分）</w:t>
      </w:r>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2592"/>
        <w:gridCol w:w="1728"/>
        <w:gridCol w:w="5328"/>
      </w:tblGrid>
      <w:tr w:rsidR="00674E15" w14:paraId="505FBD37" w14:textId="77777777">
        <w:trPr>
          <w:jc w:val="center"/>
        </w:trPr>
        <w:tc>
          <w:tcPr>
            <w:tcW w:w="2592" w:type="dxa"/>
            <w:shd w:val="clear" w:color="auto" w:fill="1B365D"/>
            <w:tcMar>
              <w:top w:w="100" w:type="dxa"/>
              <w:left w:w="150" w:type="dxa"/>
              <w:bottom w:w="100" w:type="dxa"/>
              <w:right w:w="150" w:type="dxa"/>
            </w:tcMar>
          </w:tcPr>
          <w:p w14:paraId="7659CC74" w14:textId="77777777" w:rsidR="00674E15" w:rsidRDefault="00000000">
            <w:pPr>
              <w:rPr>
                <w:rFonts w:hint="eastAsia"/>
              </w:rPr>
            </w:pPr>
            <w:r>
              <w:rPr>
                <w:b/>
                <w:color w:val="FFFFFF"/>
                <w:sz w:val="19"/>
              </w:rPr>
              <w:t>工程</w:t>
            </w:r>
          </w:p>
        </w:tc>
        <w:tc>
          <w:tcPr>
            <w:tcW w:w="1728" w:type="dxa"/>
            <w:shd w:val="clear" w:color="auto" w:fill="1B365D"/>
            <w:tcMar>
              <w:top w:w="100" w:type="dxa"/>
              <w:left w:w="150" w:type="dxa"/>
              <w:bottom w:w="100" w:type="dxa"/>
              <w:right w:w="150" w:type="dxa"/>
            </w:tcMar>
          </w:tcPr>
          <w:p w14:paraId="6E056A42" w14:textId="77777777" w:rsidR="00674E15" w:rsidRDefault="00000000">
            <w:pPr>
              <w:rPr>
                <w:rFonts w:hint="eastAsia"/>
              </w:rPr>
            </w:pPr>
            <w:r>
              <w:rPr>
                <w:b/>
                <w:color w:val="FFFFFF"/>
                <w:sz w:val="19"/>
              </w:rPr>
              <w:t>目標時間</w:t>
            </w:r>
          </w:p>
        </w:tc>
        <w:tc>
          <w:tcPr>
            <w:tcW w:w="5328" w:type="dxa"/>
            <w:shd w:val="clear" w:color="auto" w:fill="1B365D"/>
            <w:tcMar>
              <w:top w:w="100" w:type="dxa"/>
              <w:left w:w="150" w:type="dxa"/>
              <w:bottom w:w="100" w:type="dxa"/>
              <w:right w:w="150" w:type="dxa"/>
            </w:tcMar>
          </w:tcPr>
          <w:p w14:paraId="60CA6A60" w14:textId="77777777" w:rsidR="00674E15" w:rsidRDefault="00000000">
            <w:pPr>
              <w:rPr>
                <w:rFonts w:hint="eastAsia"/>
              </w:rPr>
            </w:pPr>
            <w:r>
              <w:rPr>
                <w:b/>
                <w:color w:val="FFFFFF"/>
                <w:sz w:val="19"/>
              </w:rPr>
              <w:t>作業内容・ポイント</w:t>
            </w:r>
          </w:p>
        </w:tc>
      </w:tr>
      <w:tr w:rsidR="00674E15" w14:paraId="1A09CFB9" w14:textId="77777777">
        <w:trPr>
          <w:jc w:val="center"/>
        </w:trPr>
        <w:tc>
          <w:tcPr>
            <w:tcW w:w="2592" w:type="dxa"/>
            <w:shd w:val="clear" w:color="auto" w:fill="F9FAFC"/>
            <w:tcMar>
              <w:top w:w="100" w:type="dxa"/>
              <w:left w:w="150" w:type="dxa"/>
              <w:bottom w:w="100" w:type="dxa"/>
              <w:right w:w="150" w:type="dxa"/>
            </w:tcMar>
          </w:tcPr>
          <w:p w14:paraId="03EAC6BE" w14:textId="77777777" w:rsidR="00674E15" w:rsidRDefault="00000000">
            <w:pPr>
              <w:rPr>
                <w:rFonts w:hint="eastAsia"/>
                <w:lang w:eastAsia="ja-JP"/>
              </w:rPr>
            </w:pPr>
            <w:r>
              <w:rPr>
                <w:b/>
                <w:sz w:val="18"/>
                <w:lang w:eastAsia="ja-JP"/>
              </w:rPr>
              <w:t>問題読み込み・構造理解</w:t>
            </w:r>
          </w:p>
        </w:tc>
        <w:tc>
          <w:tcPr>
            <w:tcW w:w="1728" w:type="dxa"/>
            <w:shd w:val="clear" w:color="auto" w:fill="F9FAFC"/>
            <w:tcMar>
              <w:top w:w="100" w:type="dxa"/>
              <w:left w:w="150" w:type="dxa"/>
              <w:bottom w:w="100" w:type="dxa"/>
              <w:right w:w="150" w:type="dxa"/>
            </w:tcMar>
          </w:tcPr>
          <w:p w14:paraId="60D71FBE" w14:textId="77777777" w:rsidR="00674E15" w:rsidRDefault="00000000">
            <w:pPr>
              <w:rPr>
                <w:rFonts w:hint="eastAsia"/>
              </w:rPr>
            </w:pPr>
            <w:r>
              <w:rPr>
                <w:sz w:val="18"/>
              </w:rPr>
              <w:t>4分</w:t>
            </w:r>
          </w:p>
        </w:tc>
        <w:tc>
          <w:tcPr>
            <w:tcW w:w="5328" w:type="dxa"/>
            <w:shd w:val="clear" w:color="auto" w:fill="F9FAFC"/>
            <w:tcMar>
              <w:top w:w="100" w:type="dxa"/>
              <w:left w:w="150" w:type="dxa"/>
              <w:bottom w:w="100" w:type="dxa"/>
              <w:right w:w="150" w:type="dxa"/>
            </w:tcMar>
          </w:tcPr>
          <w:p w14:paraId="37E9A91F" w14:textId="77777777" w:rsidR="00674E15" w:rsidRDefault="00000000">
            <w:pPr>
              <w:rPr>
                <w:rFonts w:hint="eastAsia"/>
                <w:lang w:eastAsia="ja-JP"/>
              </w:rPr>
            </w:pPr>
            <w:r>
              <w:rPr>
                <w:sz w:val="18"/>
                <w:lang w:eastAsia="ja-JP"/>
              </w:rPr>
              <w:t>業務指示書の確認、元データ（マスタと明細）の構成把握</w:t>
            </w:r>
          </w:p>
        </w:tc>
      </w:tr>
      <w:tr w:rsidR="00674E15" w14:paraId="5289298F" w14:textId="77777777">
        <w:trPr>
          <w:jc w:val="center"/>
        </w:trPr>
        <w:tc>
          <w:tcPr>
            <w:tcW w:w="2592" w:type="dxa"/>
            <w:tcMar>
              <w:top w:w="100" w:type="dxa"/>
              <w:left w:w="150" w:type="dxa"/>
              <w:bottom w:w="100" w:type="dxa"/>
              <w:right w:w="150" w:type="dxa"/>
            </w:tcMar>
          </w:tcPr>
          <w:p w14:paraId="0572AE4C" w14:textId="77777777" w:rsidR="00674E15" w:rsidRDefault="00000000">
            <w:pPr>
              <w:rPr>
                <w:rFonts w:hint="eastAsia"/>
                <w:lang w:eastAsia="ja-JP"/>
              </w:rPr>
            </w:pPr>
            <w:r>
              <w:rPr>
                <w:b/>
                <w:sz w:val="18"/>
                <w:lang w:eastAsia="ja-JP"/>
              </w:rPr>
              <w:t>データ統合・名寄せ・関数計算</w:t>
            </w:r>
          </w:p>
        </w:tc>
        <w:tc>
          <w:tcPr>
            <w:tcW w:w="1728" w:type="dxa"/>
            <w:tcMar>
              <w:top w:w="100" w:type="dxa"/>
              <w:left w:w="150" w:type="dxa"/>
              <w:bottom w:w="100" w:type="dxa"/>
              <w:right w:w="150" w:type="dxa"/>
            </w:tcMar>
          </w:tcPr>
          <w:p w14:paraId="1B955508" w14:textId="77777777" w:rsidR="00674E15" w:rsidRDefault="00000000">
            <w:pPr>
              <w:rPr>
                <w:rFonts w:hint="eastAsia"/>
              </w:rPr>
            </w:pPr>
            <w:r>
              <w:rPr>
                <w:sz w:val="18"/>
              </w:rPr>
              <w:t>14分</w:t>
            </w:r>
          </w:p>
        </w:tc>
        <w:tc>
          <w:tcPr>
            <w:tcW w:w="5328" w:type="dxa"/>
            <w:tcMar>
              <w:top w:w="100" w:type="dxa"/>
              <w:left w:w="150" w:type="dxa"/>
              <w:bottom w:w="100" w:type="dxa"/>
              <w:right w:w="150" w:type="dxa"/>
            </w:tcMar>
          </w:tcPr>
          <w:p w14:paraId="4AEBC8F5" w14:textId="77777777" w:rsidR="00674E15" w:rsidRDefault="00000000">
            <w:pPr>
              <w:rPr>
                <w:rFonts w:hint="eastAsia"/>
                <w:lang w:eastAsia="ja-JP"/>
              </w:rPr>
            </w:pPr>
            <w:r>
              <w:rPr>
                <w:sz w:val="18"/>
                <w:lang w:eastAsia="ja-JP"/>
              </w:rPr>
              <w:t>VLOOKUP・IFERROR・SUMIFS等でのデータ統合および管理会計指標の算出</w:t>
            </w:r>
          </w:p>
        </w:tc>
      </w:tr>
      <w:tr w:rsidR="00674E15" w14:paraId="3711DFA3" w14:textId="77777777">
        <w:trPr>
          <w:jc w:val="center"/>
        </w:trPr>
        <w:tc>
          <w:tcPr>
            <w:tcW w:w="2592" w:type="dxa"/>
            <w:shd w:val="clear" w:color="auto" w:fill="F9FAFC"/>
            <w:tcMar>
              <w:top w:w="100" w:type="dxa"/>
              <w:left w:w="150" w:type="dxa"/>
              <w:bottom w:w="100" w:type="dxa"/>
              <w:right w:w="150" w:type="dxa"/>
            </w:tcMar>
          </w:tcPr>
          <w:p w14:paraId="730C2285" w14:textId="77777777" w:rsidR="00674E15" w:rsidRDefault="00000000">
            <w:pPr>
              <w:rPr>
                <w:rFonts w:hint="eastAsia"/>
                <w:lang w:eastAsia="ja-JP"/>
              </w:rPr>
            </w:pPr>
            <w:r>
              <w:rPr>
                <w:b/>
                <w:sz w:val="18"/>
                <w:lang w:eastAsia="ja-JP"/>
              </w:rPr>
              <w:t>ピボットテーブル・応用グラフ作成</w:t>
            </w:r>
          </w:p>
        </w:tc>
        <w:tc>
          <w:tcPr>
            <w:tcW w:w="1728" w:type="dxa"/>
            <w:shd w:val="clear" w:color="auto" w:fill="F9FAFC"/>
            <w:tcMar>
              <w:top w:w="100" w:type="dxa"/>
              <w:left w:w="150" w:type="dxa"/>
              <w:bottom w:w="100" w:type="dxa"/>
              <w:right w:w="150" w:type="dxa"/>
            </w:tcMar>
          </w:tcPr>
          <w:p w14:paraId="339544C6" w14:textId="77777777" w:rsidR="00674E15" w:rsidRDefault="00000000">
            <w:pPr>
              <w:rPr>
                <w:rFonts w:hint="eastAsia"/>
              </w:rPr>
            </w:pPr>
            <w:r>
              <w:rPr>
                <w:sz w:val="18"/>
              </w:rPr>
              <w:t>8分</w:t>
            </w:r>
          </w:p>
        </w:tc>
        <w:tc>
          <w:tcPr>
            <w:tcW w:w="5328" w:type="dxa"/>
            <w:shd w:val="clear" w:color="auto" w:fill="F9FAFC"/>
            <w:tcMar>
              <w:top w:w="100" w:type="dxa"/>
              <w:left w:w="150" w:type="dxa"/>
              <w:bottom w:w="100" w:type="dxa"/>
              <w:right w:w="150" w:type="dxa"/>
            </w:tcMar>
          </w:tcPr>
          <w:p w14:paraId="007C2E89" w14:textId="77777777" w:rsidR="00674E15" w:rsidRDefault="00000000">
            <w:pPr>
              <w:rPr>
                <w:rFonts w:hint="eastAsia"/>
                <w:lang w:eastAsia="ja-JP"/>
              </w:rPr>
            </w:pPr>
            <w:r>
              <w:rPr>
                <w:sz w:val="18"/>
                <w:lang w:eastAsia="ja-JP"/>
              </w:rPr>
              <w:t>指示通りのピボット集計、ABC分析や複合グラフの作成とレイアウト調整</w:t>
            </w:r>
          </w:p>
        </w:tc>
      </w:tr>
      <w:tr w:rsidR="00674E15" w14:paraId="4FDA31B0" w14:textId="77777777">
        <w:trPr>
          <w:jc w:val="center"/>
        </w:trPr>
        <w:tc>
          <w:tcPr>
            <w:tcW w:w="2592" w:type="dxa"/>
            <w:tcMar>
              <w:top w:w="100" w:type="dxa"/>
              <w:left w:w="150" w:type="dxa"/>
              <w:bottom w:w="100" w:type="dxa"/>
              <w:right w:w="150" w:type="dxa"/>
            </w:tcMar>
          </w:tcPr>
          <w:p w14:paraId="43BD4DF4" w14:textId="77777777" w:rsidR="00674E15" w:rsidRDefault="00000000">
            <w:pPr>
              <w:rPr>
                <w:rFonts w:hint="eastAsia"/>
                <w:lang w:eastAsia="ja-JP"/>
              </w:rPr>
            </w:pPr>
            <w:r>
              <w:rPr>
                <w:b/>
                <w:sz w:val="18"/>
                <w:lang w:eastAsia="ja-JP"/>
              </w:rPr>
              <w:t>業務報告書（所見テキスト）記述</w:t>
            </w:r>
          </w:p>
        </w:tc>
        <w:tc>
          <w:tcPr>
            <w:tcW w:w="1728" w:type="dxa"/>
            <w:tcMar>
              <w:top w:w="100" w:type="dxa"/>
              <w:left w:w="150" w:type="dxa"/>
              <w:bottom w:w="100" w:type="dxa"/>
              <w:right w:w="150" w:type="dxa"/>
            </w:tcMar>
          </w:tcPr>
          <w:p w14:paraId="5064517F" w14:textId="77777777" w:rsidR="00674E15" w:rsidRDefault="00000000">
            <w:pPr>
              <w:rPr>
                <w:rFonts w:hint="eastAsia"/>
              </w:rPr>
            </w:pPr>
            <w:r>
              <w:rPr>
                <w:sz w:val="18"/>
              </w:rPr>
              <w:t>10分</w:t>
            </w:r>
          </w:p>
        </w:tc>
        <w:tc>
          <w:tcPr>
            <w:tcW w:w="5328" w:type="dxa"/>
            <w:tcMar>
              <w:top w:w="100" w:type="dxa"/>
              <w:left w:w="150" w:type="dxa"/>
              <w:bottom w:w="100" w:type="dxa"/>
              <w:right w:w="150" w:type="dxa"/>
            </w:tcMar>
          </w:tcPr>
          <w:p w14:paraId="33975665" w14:textId="77777777" w:rsidR="00674E15" w:rsidRDefault="00000000">
            <w:pPr>
              <w:rPr>
                <w:rFonts w:hint="eastAsia"/>
                <w:lang w:eastAsia="ja-JP"/>
              </w:rPr>
            </w:pPr>
            <w:r>
              <w:rPr>
                <w:sz w:val="18"/>
                <w:lang w:eastAsia="ja-JP"/>
              </w:rPr>
              <w:t>分析結果に基づき、問題点・原因分析・改善提案を指示フォーマットに従い記述</w:t>
            </w:r>
          </w:p>
        </w:tc>
      </w:tr>
      <w:tr w:rsidR="00674E15" w14:paraId="65E795B0" w14:textId="77777777">
        <w:trPr>
          <w:jc w:val="center"/>
        </w:trPr>
        <w:tc>
          <w:tcPr>
            <w:tcW w:w="2592" w:type="dxa"/>
            <w:shd w:val="clear" w:color="auto" w:fill="F9FAFC"/>
            <w:tcMar>
              <w:top w:w="100" w:type="dxa"/>
              <w:left w:w="150" w:type="dxa"/>
              <w:bottom w:w="100" w:type="dxa"/>
              <w:right w:w="150" w:type="dxa"/>
            </w:tcMar>
          </w:tcPr>
          <w:p w14:paraId="00B11458" w14:textId="77777777" w:rsidR="00674E15" w:rsidRDefault="00000000">
            <w:pPr>
              <w:rPr>
                <w:rFonts w:hint="eastAsia"/>
              </w:rPr>
            </w:pPr>
            <w:r>
              <w:rPr>
                <w:b/>
                <w:sz w:val="18"/>
              </w:rPr>
              <w:t>見直し・上書き保存</w:t>
            </w:r>
          </w:p>
        </w:tc>
        <w:tc>
          <w:tcPr>
            <w:tcW w:w="1728" w:type="dxa"/>
            <w:shd w:val="clear" w:color="auto" w:fill="F9FAFC"/>
            <w:tcMar>
              <w:top w:w="100" w:type="dxa"/>
              <w:left w:w="150" w:type="dxa"/>
              <w:bottom w:w="100" w:type="dxa"/>
              <w:right w:w="150" w:type="dxa"/>
            </w:tcMar>
          </w:tcPr>
          <w:p w14:paraId="24661A8F" w14:textId="77777777" w:rsidR="00674E15" w:rsidRDefault="00000000">
            <w:pPr>
              <w:rPr>
                <w:rFonts w:hint="eastAsia"/>
              </w:rPr>
            </w:pPr>
            <w:r>
              <w:rPr>
                <w:sz w:val="18"/>
              </w:rPr>
              <w:t>4分</w:t>
            </w:r>
          </w:p>
        </w:tc>
        <w:tc>
          <w:tcPr>
            <w:tcW w:w="5328" w:type="dxa"/>
            <w:shd w:val="clear" w:color="auto" w:fill="F9FAFC"/>
            <w:tcMar>
              <w:top w:w="100" w:type="dxa"/>
              <w:left w:w="150" w:type="dxa"/>
              <w:bottom w:w="100" w:type="dxa"/>
              <w:right w:w="150" w:type="dxa"/>
            </w:tcMar>
          </w:tcPr>
          <w:p w14:paraId="7C15A854" w14:textId="77777777" w:rsidR="00674E15" w:rsidRDefault="00000000">
            <w:pPr>
              <w:rPr>
                <w:rFonts w:hint="eastAsia"/>
                <w:lang w:eastAsia="ja-JP"/>
              </w:rPr>
            </w:pPr>
            <w:r>
              <w:rPr>
                <w:sz w:val="18"/>
                <w:lang w:eastAsia="ja-JP"/>
              </w:rPr>
              <w:t>計算結果・表示形式チェック、指定ファイル名・指定フォルダへの最終保存</w:t>
            </w:r>
          </w:p>
        </w:tc>
      </w:tr>
    </w:tbl>
    <w:p w14:paraId="0A0CFA66" w14:textId="77777777" w:rsidR="007D45A0" w:rsidRDefault="007D45A0">
      <w:pPr>
        <w:keepNext/>
        <w:pBdr>
          <w:bottom w:val="single" w:sz="14" w:space="4" w:color="1B365D"/>
        </w:pBdr>
        <w:spacing w:before="360" w:after="160"/>
        <w:rPr>
          <w:b/>
          <w:color w:val="1B365D"/>
          <w:sz w:val="30"/>
          <w:lang w:eastAsia="ja-JP"/>
        </w:rPr>
      </w:pPr>
    </w:p>
    <w:p w14:paraId="1908F981" w14:textId="77777777" w:rsidR="007D45A0" w:rsidRDefault="007D45A0">
      <w:pPr>
        <w:rPr>
          <w:b/>
          <w:color w:val="1B365D"/>
          <w:sz w:val="30"/>
          <w:lang w:eastAsia="ja-JP"/>
        </w:rPr>
      </w:pPr>
      <w:r>
        <w:rPr>
          <w:b/>
          <w:color w:val="1B365D"/>
          <w:sz w:val="30"/>
          <w:lang w:eastAsia="ja-JP"/>
        </w:rPr>
        <w:br w:type="page"/>
      </w:r>
    </w:p>
    <w:p w14:paraId="00666A37" w14:textId="2EEEC504" w:rsidR="00674E15" w:rsidRDefault="00000000">
      <w:pPr>
        <w:keepNext/>
        <w:pBdr>
          <w:bottom w:val="single" w:sz="14" w:space="4" w:color="1B365D"/>
        </w:pBdr>
        <w:spacing w:before="360" w:after="160"/>
        <w:rPr>
          <w:rFonts w:hint="eastAsia"/>
          <w:lang w:eastAsia="ja-JP"/>
        </w:rPr>
      </w:pPr>
      <w:r>
        <w:rPr>
          <w:b/>
          <w:color w:val="1B365D"/>
          <w:sz w:val="30"/>
          <w:lang w:eastAsia="ja-JP"/>
        </w:rPr>
        <w:t>第2章 2級必須関数と管理会計数値の考え方</w:t>
      </w:r>
    </w:p>
    <w:p w14:paraId="74057B52" w14:textId="77777777" w:rsidR="00674E15" w:rsidRDefault="00000000">
      <w:pPr>
        <w:keepNext/>
        <w:spacing w:before="280" w:after="120"/>
        <w:rPr>
          <w:rFonts w:hint="eastAsia"/>
          <w:lang w:eastAsia="ja-JP"/>
        </w:rPr>
      </w:pPr>
      <w:r>
        <w:rPr>
          <w:b/>
          <w:color w:val="2E5B88"/>
          <w:sz w:val="24"/>
          <w:lang w:eastAsia="ja-JP"/>
        </w:rPr>
        <w:t>1. 2級で必須となる応用・高度関数一覧</w:t>
      </w:r>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2592"/>
        <w:gridCol w:w="2592"/>
        <w:gridCol w:w="4464"/>
      </w:tblGrid>
      <w:tr w:rsidR="00674E15" w14:paraId="0669CEDD" w14:textId="77777777">
        <w:trPr>
          <w:jc w:val="center"/>
        </w:trPr>
        <w:tc>
          <w:tcPr>
            <w:tcW w:w="2592" w:type="dxa"/>
            <w:shd w:val="clear" w:color="auto" w:fill="1B365D"/>
            <w:tcMar>
              <w:top w:w="100" w:type="dxa"/>
              <w:left w:w="150" w:type="dxa"/>
              <w:bottom w:w="100" w:type="dxa"/>
              <w:right w:w="150" w:type="dxa"/>
            </w:tcMar>
          </w:tcPr>
          <w:p w14:paraId="1158F39A" w14:textId="77777777" w:rsidR="00674E15" w:rsidRDefault="00000000">
            <w:pPr>
              <w:rPr>
                <w:rFonts w:hint="eastAsia"/>
              </w:rPr>
            </w:pPr>
            <w:r>
              <w:rPr>
                <w:b/>
                <w:color w:val="FFFFFF"/>
                <w:sz w:val="19"/>
              </w:rPr>
              <w:t>関数名</w:t>
            </w:r>
          </w:p>
        </w:tc>
        <w:tc>
          <w:tcPr>
            <w:tcW w:w="2592" w:type="dxa"/>
            <w:shd w:val="clear" w:color="auto" w:fill="1B365D"/>
            <w:tcMar>
              <w:top w:w="100" w:type="dxa"/>
              <w:left w:w="150" w:type="dxa"/>
              <w:bottom w:w="100" w:type="dxa"/>
              <w:right w:w="150" w:type="dxa"/>
            </w:tcMar>
          </w:tcPr>
          <w:p w14:paraId="1C8611B8" w14:textId="77777777" w:rsidR="00674E15" w:rsidRDefault="00000000">
            <w:pPr>
              <w:rPr>
                <w:rFonts w:hint="eastAsia"/>
              </w:rPr>
            </w:pPr>
            <w:r>
              <w:rPr>
                <w:b/>
                <w:color w:val="FFFFFF"/>
                <w:sz w:val="19"/>
              </w:rPr>
              <w:t>ビジネスでの目的</w:t>
            </w:r>
          </w:p>
        </w:tc>
        <w:tc>
          <w:tcPr>
            <w:tcW w:w="4464" w:type="dxa"/>
            <w:shd w:val="clear" w:color="auto" w:fill="1B365D"/>
            <w:tcMar>
              <w:top w:w="100" w:type="dxa"/>
              <w:left w:w="150" w:type="dxa"/>
              <w:bottom w:w="100" w:type="dxa"/>
              <w:right w:w="150" w:type="dxa"/>
            </w:tcMar>
          </w:tcPr>
          <w:p w14:paraId="5E629137" w14:textId="77777777" w:rsidR="00674E15" w:rsidRDefault="00000000">
            <w:pPr>
              <w:rPr>
                <w:rFonts w:hint="eastAsia"/>
                <w:lang w:eastAsia="ja-JP"/>
              </w:rPr>
            </w:pPr>
            <w:r>
              <w:rPr>
                <w:b/>
                <w:color w:val="FFFFFF"/>
                <w:sz w:val="19"/>
                <w:lang w:eastAsia="ja-JP"/>
              </w:rPr>
              <w:t>実務・試験での具体的な使用例</w:t>
            </w:r>
          </w:p>
        </w:tc>
      </w:tr>
      <w:tr w:rsidR="00674E15" w14:paraId="164F3797" w14:textId="77777777">
        <w:trPr>
          <w:jc w:val="center"/>
        </w:trPr>
        <w:tc>
          <w:tcPr>
            <w:tcW w:w="2592" w:type="dxa"/>
            <w:shd w:val="clear" w:color="auto" w:fill="F9FAFC"/>
            <w:tcMar>
              <w:top w:w="100" w:type="dxa"/>
              <w:left w:w="150" w:type="dxa"/>
              <w:bottom w:w="100" w:type="dxa"/>
              <w:right w:w="150" w:type="dxa"/>
            </w:tcMar>
          </w:tcPr>
          <w:p w14:paraId="2431ACA2" w14:textId="77777777" w:rsidR="00674E15" w:rsidRDefault="00000000">
            <w:pPr>
              <w:rPr>
                <w:rFonts w:hint="eastAsia"/>
              </w:rPr>
            </w:pPr>
            <w:r>
              <w:rPr>
                <w:b/>
                <w:sz w:val="18"/>
              </w:rPr>
              <w:t>VLOOKUP</w:t>
            </w:r>
          </w:p>
        </w:tc>
        <w:tc>
          <w:tcPr>
            <w:tcW w:w="2592" w:type="dxa"/>
            <w:shd w:val="clear" w:color="auto" w:fill="F9FAFC"/>
            <w:tcMar>
              <w:top w:w="100" w:type="dxa"/>
              <w:left w:w="150" w:type="dxa"/>
              <w:bottom w:w="100" w:type="dxa"/>
              <w:right w:w="150" w:type="dxa"/>
            </w:tcMar>
          </w:tcPr>
          <w:p w14:paraId="20B88D1C" w14:textId="77777777" w:rsidR="00674E15" w:rsidRDefault="00000000">
            <w:pPr>
              <w:rPr>
                <w:rFonts w:hint="eastAsia"/>
                <w:lang w:eastAsia="ja-JP"/>
              </w:rPr>
            </w:pPr>
            <w:r>
              <w:rPr>
                <w:sz w:val="18"/>
                <w:lang w:eastAsia="ja-JP"/>
              </w:rPr>
              <w:t>複数シート・マスタからの自動転記</w:t>
            </w:r>
          </w:p>
        </w:tc>
        <w:tc>
          <w:tcPr>
            <w:tcW w:w="4464" w:type="dxa"/>
            <w:shd w:val="clear" w:color="auto" w:fill="F9FAFC"/>
            <w:tcMar>
              <w:top w:w="100" w:type="dxa"/>
              <w:left w:w="150" w:type="dxa"/>
              <w:bottom w:w="100" w:type="dxa"/>
              <w:right w:w="150" w:type="dxa"/>
            </w:tcMar>
          </w:tcPr>
          <w:p w14:paraId="630A1EDF" w14:textId="77777777" w:rsidR="00674E15" w:rsidRDefault="00000000">
            <w:pPr>
              <w:rPr>
                <w:rFonts w:hint="eastAsia"/>
                <w:lang w:eastAsia="ja-JP"/>
              </w:rPr>
            </w:pPr>
            <w:r>
              <w:rPr>
                <w:sz w:val="18"/>
                <w:lang w:eastAsia="ja-JP"/>
              </w:rPr>
              <w:t>売上明細の商品コードから別シート「商品マスタ」の単価やカテゴリを自動参照。</w:t>
            </w:r>
          </w:p>
        </w:tc>
      </w:tr>
      <w:tr w:rsidR="00674E15" w14:paraId="5045E546" w14:textId="77777777">
        <w:trPr>
          <w:jc w:val="center"/>
        </w:trPr>
        <w:tc>
          <w:tcPr>
            <w:tcW w:w="2592" w:type="dxa"/>
            <w:tcMar>
              <w:top w:w="100" w:type="dxa"/>
              <w:left w:w="150" w:type="dxa"/>
              <w:bottom w:w="100" w:type="dxa"/>
              <w:right w:w="150" w:type="dxa"/>
            </w:tcMar>
          </w:tcPr>
          <w:p w14:paraId="781468E1" w14:textId="77777777" w:rsidR="00674E15" w:rsidRDefault="00000000">
            <w:pPr>
              <w:rPr>
                <w:rFonts w:hint="eastAsia"/>
              </w:rPr>
            </w:pPr>
            <w:r>
              <w:rPr>
                <w:b/>
                <w:sz w:val="18"/>
              </w:rPr>
              <w:t>IFERROR</w:t>
            </w:r>
          </w:p>
        </w:tc>
        <w:tc>
          <w:tcPr>
            <w:tcW w:w="2592" w:type="dxa"/>
            <w:tcMar>
              <w:top w:w="100" w:type="dxa"/>
              <w:left w:w="150" w:type="dxa"/>
              <w:bottom w:w="100" w:type="dxa"/>
              <w:right w:w="150" w:type="dxa"/>
            </w:tcMar>
          </w:tcPr>
          <w:p w14:paraId="42087573" w14:textId="77777777" w:rsidR="00674E15" w:rsidRDefault="00000000">
            <w:pPr>
              <w:rPr>
                <w:rFonts w:hint="eastAsia"/>
                <w:lang w:eastAsia="ja-JP"/>
              </w:rPr>
            </w:pPr>
            <w:r>
              <w:rPr>
                <w:sz w:val="18"/>
                <w:lang w:eastAsia="ja-JP"/>
              </w:rPr>
              <w:t>エラー値（#N/A等）の非表示・置換</w:t>
            </w:r>
          </w:p>
        </w:tc>
        <w:tc>
          <w:tcPr>
            <w:tcW w:w="4464" w:type="dxa"/>
            <w:tcMar>
              <w:top w:w="100" w:type="dxa"/>
              <w:left w:w="150" w:type="dxa"/>
              <w:bottom w:w="100" w:type="dxa"/>
              <w:right w:w="150" w:type="dxa"/>
            </w:tcMar>
          </w:tcPr>
          <w:p w14:paraId="598EA467" w14:textId="77777777" w:rsidR="00674E15" w:rsidRDefault="00000000">
            <w:pPr>
              <w:rPr>
                <w:rFonts w:hint="eastAsia"/>
                <w:lang w:eastAsia="ja-JP"/>
              </w:rPr>
            </w:pPr>
            <w:r>
              <w:rPr>
                <w:sz w:val="18"/>
                <w:lang w:eastAsia="ja-JP"/>
              </w:rPr>
              <w:t>VLOOKUPで該当データがない場合のエラー表示を防ぎ、「未登録」や0を表示。</w:t>
            </w:r>
          </w:p>
        </w:tc>
      </w:tr>
      <w:tr w:rsidR="00674E15" w14:paraId="03DD8411" w14:textId="77777777">
        <w:trPr>
          <w:jc w:val="center"/>
        </w:trPr>
        <w:tc>
          <w:tcPr>
            <w:tcW w:w="2592" w:type="dxa"/>
            <w:shd w:val="clear" w:color="auto" w:fill="F9FAFC"/>
            <w:tcMar>
              <w:top w:w="100" w:type="dxa"/>
              <w:left w:w="150" w:type="dxa"/>
              <w:bottom w:w="100" w:type="dxa"/>
              <w:right w:w="150" w:type="dxa"/>
            </w:tcMar>
          </w:tcPr>
          <w:p w14:paraId="247990D0" w14:textId="77777777" w:rsidR="00674E15" w:rsidRDefault="00000000">
            <w:pPr>
              <w:rPr>
                <w:rFonts w:hint="eastAsia"/>
              </w:rPr>
            </w:pPr>
            <w:r>
              <w:rPr>
                <w:b/>
                <w:sz w:val="18"/>
              </w:rPr>
              <w:t>SUMIFS</w:t>
            </w:r>
          </w:p>
        </w:tc>
        <w:tc>
          <w:tcPr>
            <w:tcW w:w="2592" w:type="dxa"/>
            <w:shd w:val="clear" w:color="auto" w:fill="F9FAFC"/>
            <w:tcMar>
              <w:top w:w="100" w:type="dxa"/>
              <w:left w:w="150" w:type="dxa"/>
              <w:bottom w:w="100" w:type="dxa"/>
              <w:right w:w="150" w:type="dxa"/>
            </w:tcMar>
          </w:tcPr>
          <w:p w14:paraId="66B541FE" w14:textId="77777777" w:rsidR="00674E15" w:rsidRDefault="00000000">
            <w:pPr>
              <w:rPr>
                <w:rFonts w:hint="eastAsia"/>
                <w:lang w:eastAsia="ja-JP"/>
              </w:rPr>
            </w:pPr>
            <w:r>
              <w:rPr>
                <w:sz w:val="18"/>
                <w:lang w:eastAsia="ja-JP"/>
              </w:rPr>
              <w:t>複数条件での合計集計</w:t>
            </w:r>
          </w:p>
        </w:tc>
        <w:tc>
          <w:tcPr>
            <w:tcW w:w="4464" w:type="dxa"/>
            <w:shd w:val="clear" w:color="auto" w:fill="F9FAFC"/>
            <w:tcMar>
              <w:top w:w="100" w:type="dxa"/>
              <w:left w:w="150" w:type="dxa"/>
              <w:bottom w:w="100" w:type="dxa"/>
              <w:right w:w="150" w:type="dxa"/>
            </w:tcMar>
          </w:tcPr>
          <w:p w14:paraId="52B1A396" w14:textId="77777777" w:rsidR="00674E15" w:rsidRDefault="00000000">
            <w:pPr>
              <w:rPr>
                <w:rFonts w:hint="eastAsia"/>
                <w:lang w:eastAsia="ja-JP"/>
              </w:rPr>
            </w:pPr>
            <w:r>
              <w:rPr>
                <w:sz w:val="18"/>
                <w:lang w:eastAsia="ja-JP"/>
              </w:rPr>
              <w:t>「東京支店」かつ「2026年4月以降」かつ「文具」の売上額のみをピンポイント合計。</w:t>
            </w:r>
          </w:p>
        </w:tc>
      </w:tr>
      <w:tr w:rsidR="00674E15" w14:paraId="7570A74C" w14:textId="77777777">
        <w:trPr>
          <w:jc w:val="center"/>
        </w:trPr>
        <w:tc>
          <w:tcPr>
            <w:tcW w:w="2592" w:type="dxa"/>
            <w:tcMar>
              <w:top w:w="100" w:type="dxa"/>
              <w:left w:w="150" w:type="dxa"/>
              <w:bottom w:w="100" w:type="dxa"/>
              <w:right w:w="150" w:type="dxa"/>
            </w:tcMar>
          </w:tcPr>
          <w:p w14:paraId="64203A18" w14:textId="77777777" w:rsidR="00674E15" w:rsidRDefault="00000000">
            <w:pPr>
              <w:rPr>
                <w:rFonts w:hint="eastAsia"/>
              </w:rPr>
            </w:pPr>
            <w:r>
              <w:rPr>
                <w:b/>
                <w:sz w:val="18"/>
              </w:rPr>
              <w:t>COUNTIFS</w:t>
            </w:r>
          </w:p>
        </w:tc>
        <w:tc>
          <w:tcPr>
            <w:tcW w:w="2592" w:type="dxa"/>
            <w:tcMar>
              <w:top w:w="100" w:type="dxa"/>
              <w:left w:w="150" w:type="dxa"/>
              <w:bottom w:w="100" w:type="dxa"/>
              <w:right w:w="150" w:type="dxa"/>
            </w:tcMar>
          </w:tcPr>
          <w:p w14:paraId="43619438" w14:textId="77777777" w:rsidR="00674E15" w:rsidRDefault="00000000">
            <w:pPr>
              <w:rPr>
                <w:rFonts w:hint="eastAsia"/>
                <w:lang w:eastAsia="ja-JP"/>
              </w:rPr>
            </w:pPr>
            <w:r>
              <w:rPr>
                <w:sz w:val="18"/>
                <w:lang w:eastAsia="ja-JP"/>
              </w:rPr>
              <w:t>複数条件での件数カウント</w:t>
            </w:r>
          </w:p>
        </w:tc>
        <w:tc>
          <w:tcPr>
            <w:tcW w:w="4464" w:type="dxa"/>
            <w:tcMar>
              <w:top w:w="100" w:type="dxa"/>
              <w:left w:w="150" w:type="dxa"/>
              <w:bottom w:w="100" w:type="dxa"/>
              <w:right w:w="150" w:type="dxa"/>
            </w:tcMar>
          </w:tcPr>
          <w:p w14:paraId="117FF898" w14:textId="77777777" w:rsidR="00674E15" w:rsidRDefault="00000000">
            <w:pPr>
              <w:rPr>
                <w:rFonts w:hint="eastAsia"/>
                <w:lang w:eastAsia="ja-JP"/>
              </w:rPr>
            </w:pPr>
            <w:r>
              <w:rPr>
                <w:sz w:val="18"/>
                <w:lang w:eastAsia="ja-JP"/>
              </w:rPr>
              <w:t>売上高10万円以上かつステータスが「確定」の取引件数をカウント。</w:t>
            </w:r>
          </w:p>
        </w:tc>
      </w:tr>
      <w:tr w:rsidR="00674E15" w14:paraId="38925441" w14:textId="77777777">
        <w:trPr>
          <w:jc w:val="center"/>
        </w:trPr>
        <w:tc>
          <w:tcPr>
            <w:tcW w:w="2592" w:type="dxa"/>
            <w:shd w:val="clear" w:color="auto" w:fill="F9FAFC"/>
            <w:tcMar>
              <w:top w:w="100" w:type="dxa"/>
              <w:left w:w="150" w:type="dxa"/>
              <w:bottom w:w="100" w:type="dxa"/>
              <w:right w:w="150" w:type="dxa"/>
            </w:tcMar>
          </w:tcPr>
          <w:p w14:paraId="7DCF04C5" w14:textId="77777777" w:rsidR="00674E15" w:rsidRDefault="00000000">
            <w:pPr>
              <w:rPr>
                <w:rFonts w:hint="eastAsia"/>
              </w:rPr>
            </w:pPr>
            <w:r>
              <w:rPr>
                <w:b/>
                <w:sz w:val="18"/>
              </w:rPr>
              <w:t>AVERAGEIFS</w:t>
            </w:r>
          </w:p>
        </w:tc>
        <w:tc>
          <w:tcPr>
            <w:tcW w:w="2592" w:type="dxa"/>
            <w:shd w:val="clear" w:color="auto" w:fill="F9FAFC"/>
            <w:tcMar>
              <w:top w:w="100" w:type="dxa"/>
              <w:left w:w="150" w:type="dxa"/>
              <w:bottom w:w="100" w:type="dxa"/>
              <w:right w:w="150" w:type="dxa"/>
            </w:tcMar>
          </w:tcPr>
          <w:p w14:paraId="09F6E4A4" w14:textId="77777777" w:rsidR="00674E15" w:rsidRDefault="00000000">
            <w:pPr>
              <w:rPr>
                <w:rFonts w:hint="eastAsia"/>
                <w:lang w:eastAsia="ja-JP"/>
              </w:rPr>
            </w:pPr>
            <w:r>
              <w:rPr>
                <w:sz w:val="18"/>
                <w:lang w:eastAsia="ja-JP"/>
              </w:rPr>
              <w:t>複数条件での平均算出</w:t>
            </w:r>
          </w:p>
        </w:tc>
        <w:tc>
          <w:tcPr>
            <w:tcW w:w="4464" w:type="dxa"/>
            <w:shd w:val="clear" w:color="auto" w:fill="F9FAFC"/>
            <w:tcMar>
              <w:top w:w="100" w:type="dxa"/>
              <w:left w:w="150" w:type="dxa"/>
              <w:bottom w:w="100" w:type="dxa"/>
              <w:right w:w="150" w:type="dxa"/>
            </w:tcMar>
          </w:tcPr>
          <w:p w14:paraId="5FAE30C8" w14:textId="77777777" w:rsidR="00674E15" w:rsidRDefault="00000000">
            <w:pPr>
              <w:rPr>
                <w:rFonts w:hint="eastAsia"/>
                <w:lang w:eastAsia="ja-JP"/>
              </w:rPr>
            </w:pPr>
            <w:r>
              <w:rPr>
                <w:sz w:val="18"/>
                <w:lang w:eastAsia="ja-JP"/>
              </w:rPr>
              <w:t>特定地域かつ特定顧客区分の平均取引額を算出。</w:t>
            </w:r>
          </w:p>
        </w:tc>
      </w:tr>
      <w:tr w:rsidR="00674E15" w14:paraId="42C513D5" w14:textId="77777777">
        <w:trPr>
          <w:jc w:val="center"/>
        </w:trPr>
        <w:tc>
          <w:tcPr>
            <w:tcW w:w="2592" w:type="dxa"/>
            <w:tcMar>
              <w:top w:w="100" w:type="dxa"/>
              <w:left w:w="150" w:type="dxa"/>
              <w:bottom w:w="100" w:type="dxa"/>
              <w:right w:w="150" w:type="dxa"/>
            </w:tcMar>
          </w:tcPr>
          <w:p w14:paraId="60B71528" w14:textId="77777777" w:rsidR="00674E15" w:rsidRDefault="00000000">
            <w:pPr>
              <w:rPr>
                <w:rFonts w:hint="eastAsia"/>
              </w:rPr>
            </w:pPr>
            <w:r>
              <w:rPr>
                <w:b/>
                <w:sz w:val="18"/>
              </w:rPr>
              <w:t>SUBTOTAL</w:t>
            </w:r>
          </w:p>
        </w:tc>
        <w:tc>
          <w:tcPr>
            <w:tcW w:w="2592" w:type="dxa"/>
            <w:tcMar>
              <w:top w:w="100" w:type="dxa"/>
              <w:left w:w="150" w:type="dxa"/>
              <w:bottom w:w="100" w:type="dxa"/>
              <w:right w:w="150" w:type="dxa"/>
            </w:tcMar>
          </w:tcPr>
          <w:p w14:paraId="6AB38DAC" w14:textId="77777777" w:rsidR="00674E15" w:rsidRDefault="00000000">
            <w:pPr>
              <w:rPr>
                <w:rFonts w:hint="eastAsia"/>
                <w:lang w:eastAsia="ja-JP"/>
              </w:rPr>
            </w:pPr>
            <w:r>
              <w:rPr>
                <w:sz w:val="18"/>
                <w:lang w:eastAsia="ja-JP"/>
              </w:rPr>
              <w:t>フィルタ抽出時の動的集計</w:t>
            </w:r>
          </w:p>
        </w:tc>
        <w:tc>
          <w:tcPr>
            <w:tcW w:w="4464" w:type="dxa"/>
            <w:tcMar>
              <w:top w:w="100" w:type="dxa"/>
              <w:left w:w="150" w:type="dxa"/>
              <w:bottom w:w="100" w:type="dxa"/>
              <w:right w:w="150" w:type="dxa"/>
            </w:tcMar>
          </w:tcPr>
          <w:p w14:paraId="054F0024" w14:textId="77777777" w:rsidR="00674E15" w:rsidRDefault="00000000">
            <w:pPr>
              <w:rPr>
                <w:rFonts w:hint="eastAsia"/>
                <w:lang w:eastAsia="ja-JP"/>
              </w:rPr>
            </w:pPr>
            <w:r>
              <w:rPr>
                <w:sz w:val="18"/>
                <w:lang w:eastAsia="ja-JP"/>
              </w:rPr>
              <w:t>オートフィルタで絞り込んだ表示セルのみの合計（関数番号9）や平均を算出。</w:t>
            </w:r>
          </w:p>
        </w:tc>
      </w:tr>
      <w:tr w:rsidR="00674E15" w14:paraId="77497C61" w14:textId="77777777">
        <w:trPr>
          <w:jc w:val="center"/>
        </w:trPr>
        <w:tc>
          <w:tcPr>
            <w:tcW w:w="2592" w:type="dxa"/>
            <w:shd w:val="clear" w:color="auto" w:fill="F9FAFC"/>
            <w:tcMar>
              <w:top w:w="100" w:type="dxa"/>
              <w:left w:w="150" w:type="dxa"/>
              <w:bottom w:w="100" w:type="dxa"/>
              <w:right w:w="150" w:type="dxa"/>
            </w:tcMar>
          </w:tcPr>
          <w:p w14:paraId="1D96B968" w14:textId="77777777" w:rsidR="00674E15" w:rsidRDefault="00000000">
            <w:pPr>
              <w:rPr>
                <w:rFonts w:hint="eastAsia"/>
              </w:rPr>
            </w:pPr>
            <w:r>
              <w:rPr>
                <w:b/>
                <w:sz w:val="18"/>
              </w:rPr>
              <w:t>RANK.EQ</w:t>
            </w:r>
          </w:p>
        </w:tc>
        <w:tc>
          <w:tcPr>
            <w:tcW w:w="2592" w:type="dxa"/>
            <w:shd w:val="clear" w:color="auto" w:fill="F9FAFC"/>
            <w:tcMar>
              <w:top w:w="100" w:type="dxa"/>
              <w:left w:w="150" w:type="dxa"/>
              <w:bottom w:w="100" w:type="dxa"/>
              <w:right w:w="150" w:type="dxa"/>
            </w:tcMar>
          </w:tcPr>
          <w:p w14:paraId="3A539B41" w14:textId="77777777" w:rsidR="00674E15" w:rsidRDefault="00000000">
            <w:pPr>
              <w:rPr>
                <w:rFonts w:hint="eastAsia"/>
                <w:lang w:eastAsia="ja-JP"/>
              </w:rPr>
            </w:pPr>
            <w:r>
              <w:rPr>
                <w:sz w:val="18"/>
                <w:lang w:eastAsia="ja-JP"/>
              </w:rPr>
              <w:t>指定範囲での順位付け</w:t>
            </w:r>
          </w:p>
        </w:tc>
        <w:tc>
          <w:tcPr>
            <w:tcW w:w="4464" w:type="dxa"/>
            <w:shd w:val="clear" w:color="auto" w:fill="F9FAFC"/>
            <w:tcMar>
              <w:top w:w="100" w:type="dxa"/>
              <w:left w:w="150" w:type="dxa"/>
              <w:bottom w:w="100" w:type="dxa"/>
              <w:right w:w="150" w:type="dxa"/>
            </w:tcMar>
          </w:tcPr>
          <w:p w14:paraId="3477E99A" w14:textId="77777777" w:rsidR="00674E15" w:rsidRDefault="00000000">
            <w:pPr>
              <w:rPr>
                <w:rFonts w:hint="eastAsia"/>
                <w:lang w:eastAsia="ja-JP"/>
              </w:rPr>
            </w:pPr>
            <w:r>
              <w:rPr>
                <w:sz w:val="18"/>
                <w:lang w:eastAsia="ja-JP"/>
              </w:rPr>
              <w:t>店舗別・商品別の売上高が全体の中で何位であるかを求める。</w:t>
            </w:r>
          </w:p>
        </w:tc>
      </w:tr>
      <w:tr w:rsidR="00674E15" w14:paraId="637EE281" w14:textId="77777777">
        <w:trPr>
          <w:jc w:val="center"/>
        </w:trPr>
        <w:tc>
          <w:tcPr>
            <w:tcW w:w="2592" w:type="dxa"/>
            <w:tcMar>
              <w:top w:w="100" w:type="dxa"/>
              <w:left w:w="150" w:type="dxa"/>
              <w:bottom w:w="100" w:type="dxa"/>
              <w:right w:w="150" w:type="dxa"/>
            </w:tcMar>
          </w:tcPr>
          <w:p w14:paraId="5935815C" w14:textId="77777777" w:rsidR="00674E15" w:rsidRDefault="00000000">
            <w:pPr>
              <w:rPr>
                <w:rFonts w:hint="eastAsia"/>
              </w:rPr>
            </w:pPr>
            <w:r>
              <w:rPr>
                <w:b/>
                <w:sz w:val="18"/>
              </w:rPr>
              <w:t>DATEDIF</w:t>
            </w:r>
          </w:p>
        </w:tc>
        <w:tc>
          <w:tcPr>
            <w:tcW w:w="2592" w:type="dxa"/>
            <w:tcMar>
              <w:top w:w="100" w:type="dxa"/>
              <w:left w:w="150" w:type="dxa"/>
              <w:bottom w:w="100" w:type="dxa"/>
              <w:right w:w="150" w:type="dxa"/>
            </w:tcMar>
          </w:tcPr>
          <w:p w14:paraId="74B08474" w14:textId="77777777" w:rsidR="00674E15" w:rsidRDefault="00000000">
            <w:pPr>
              <w:rPr>
                <w:rFonts w:hint="eastAsia"/>
                <w:lang w:eastAsia="ja-JP"/>
              </w:rPr>
            </w:pPr>
            <w:r>
              <w:rPr>
                <w:sz w:val="18"/>
                <w:lang w:eastAsia="ja-JP"/>
              </w:rPr>
              <w:t>期間（年数・月数・日数）の計算</w:t>
            </w:r>
          </w:p>
        </w:tc>
        <w:tc>
          <w:tcPr>
            <w:tcW w:w="4464" w:type="dxa"/>
            <w:tcMar>
              <w:top w:w="100" w:type="dxa"/>
              <w:left w:w="150" w:type="dxa"/>
              <w:bottom w:w="100" w:type="dxa"/>
              <w:right w:w="150" w:type="dxa"/>
            </w:tcMar>
          </w:tcPr>
          <w:p w14:paraId="32D654C5" w14:textId="77777777" w:rsidR="00674E15" w:rsidRDefault="00000000">
            <w:pPr>
              <w:rPr>
                <w:rFonts w:hint="eastAsia"/>
                <w:lang w:eastAsia="ja-JP"/>
              </w:rPr>
            </w:pPr>
            <w:r>
              <w:rPr>
                <w:sz w:val="18"/>
                <w:lang w:eastAsia="ja-JP"/>
              </w:rPr>
              <w:t>顧客の生年月日から現在の年齢を算出、または入社日からの勤続年数を計算。</w:t>
            </w:r>
          </w:p>
        </w:tc>
      </w:tr>
      <w:tr w:rsidR="00674E15" w14:paraId="79E0B62C" w14:textId="77777777">
        <w:trPr>
          <w:jc w:val="center"/>
        </w:trPr>
        <w:tc>
          <w:tcPr>
            <w:tcW w:w="2592" w:type="dxa"/>
            <w:shd w:val="clear" w:color="auto" w:fill="F9FAFC"/>
            <w:tcMar>
              <w:top w:w="100" w:type="dxa"/>
              <w:left w:w="150" w:type="dxa"/>
              <w:bottom w:w="100" w:type="dxa"/>
              <w:right w:w="150" w:type="dxa"/>
            </w:tcMar>
          </w:tcPr>
          <w:p w14:paraId="15C46002" w14:textId="77777777" w:rsidR="00674E15" w:rsidRDefault="00000000">
            <w:pPr>
              <w:rPr>
                <w:rFonts w:hint="eastAsia"/>
              </w:rPr>
            </w:pPr>
            <w:r>
              <w:rPr>
                <w:b/>
                <w:sz w:val="18"/>
              </w:rPr>
              <w:t>INDEX &amp; MATCH</w:t>
            </w:r>
          </w:p>
        </w:tc>
        <w:tc>
          <w:tcPr>
            <w:tcW w:w="2592" w:type="dxa"/>
            <w:shd w:val="clear" w:color="auto" w:fill="F9FAFC"/>
            <w:tcMar>
              <w:top w:w="100" w:type="dxa"/>
              <w:left w:w="150" w:type="dxa"/>
              <w:bottom w:w="100" w:type="dxa"/>
              <w:right w:w="150" w:type="dxa"/>
            </w:tcMar>
          </w:tcPr>
          <w:p w14:paraId="29A3EAD8" w14:textId="77777777" w:rsidR="00674E15" w:rsidRDefault="00000000">
            <w:pPr>
              <w:rPr>
                <w:rFonts w:hint="eastAsia"/>
                <w:lang w:eastAsia="ja-JP"/>
              </w:rPr>
            </w:pPr>
            <w:r>
              <w:rPr>
                <w:sz w:val="18"/>
                <w:lang w:eastAsia="ja-JP"/>
              </w:rPr>
              <w:t>柔軟な多次元データ検索</w:t>
            </w:r>
          </w:p>
        </w:tc>
        <w:tc>
          <w:tcPr>
            <w:tcW w:w="4464" w:type="dxa"/>
            <w:shd w:val="clear" w:color="auto" w:fill="F9FAFC"/>
            <w:tcMar>
              <w:top w:w="100" w:type="dxa"/>
              <w:left w:w="150" w:type="dxa"/>
              <w:bottom w:w="100" w:type="dxa"/>
              <w:right w:w="150" w:type="dxa"/>
            </w:tcMar>
          </w:tcPr>
          <w:p w14:paraId="10752A34" w14:textId="77777777" w:rsidR="00674E15" w:rsidRDefault="00000000">
            <w:pPr>
              <w:rPr>
                <w:rFonts w:hint="eastAsia"/>
                <w:lang w:eastAsia="ja-JP"/>
              </w:rPr>
            </w:pPr>
            <w:r>
              <w:rPr>
                <w:sz w:val="18"/>
                <w:lang w:eastAsia="ja-JP"/>
              </w:rPr>
              <w:t>検索キーより左側の列にあるデータを取り出す場合や、動的な範囲参照に使用。</w:t>
            </w:r>
          </w:p>
        </w:tc>
      </w:tr>
    </w:tbl>
    <w:p w14:paraId="3CB9B969" w14:textId="77777777" w:rsidR="00674E15" w:rsidRDefault="00000000">
      <w:pPr>
        <w:keepNext/>
        <w:spacing w:before="280" w:after="120"/>
        <w:rPr>
          <w:rFonts w:hint="eastAsia"/>
          <w:lang w:eastAsia="ja-JP"/>
        </w:rPr>
      </w:pPr>
      <w:r>
        <w:rPr>
          <w:b/>
          <w:color w:val="2E5B88"/>
          <w:sz w:val="24"/>
          <w:lang w:eastAsia="ja-JP"/>
        </w:rPr>
        <w:t>2. 2級の核となる「管理会計・ビジネス計算公式」一覧</w:t>
      </w:r>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2592"/>
        <w:gridCol w:w="3168"/>
        <w:gridCol w:w="3888"/>
      </w:tblGrid>
      <w:tr w:rsidR="00674E15" w14:paraId="6DDC2928" w14:textId="77777777">
        <w:trPr>
          <w:jc w:val="center"/>
        </w:trPr>
        <w:tc>
          <w:tcPr>
            <w:tcW w:w="2592" w:type="dxa"/>
            <w:shd w:val="clear" w:color="auto" w:fill="1B365D"/>
            <w:tcMar>
              <w:top w:w="100" w:type="dxa"/>
              <w:left w:w="150" w:type="dxa"/>
              <w:bottom w:w="100" w:type="dxa"/>
              <w:right w:w="150" w:type="dxa"/>
            </w:tcMar>
          </w:tcPr>
          <w:p w14:paraId="3C0ABBB3" w14:textId="77777777" w:rsidR="00674E15" w:rsidRDefault="00000000">
            <w:pPr>
              <w:rPr>
                <w:rFonts w:hint="eastAsia"/>
              </w:rPr>
            </w:pPr>
            <w:r>
              <w:rPr>
                <w:b/>
                <w:color w:val="FFFFFF"/>
                <w:sz w:val="19"/>
              </w:rPr>
              <w:t>計算項目</w:t>
            </w:r>
          </w:p>
        </w:tc>
        <w:tc>
          <w:tcPr>
            <w:tcW w:w="3168" w:type="dxa"/>
            <w:shd w:val="clear" w:color="auto" w:fill="1B365D"/>
            <w:tcMar>
              <w:top w:w="100" w:type="dxa"/>
              <w:left w:w="150" w:type="dxa"/>
              <w:bottom w:w="100" w:type="dxa"/>
              <w:right w:w="150" w:type="dxa"/>
            </w:tcMar>
          </w:tcPr>
          <w:p w14:paraId="02CF919B" w14:textId="77777777" w:rsidR="00674E15" w:rsidRDefault="00000000">
            <w:pPr>
              <w:rPr>
                <w:rFonts w:hint="eastAsia"/>
              </w:rPr>
            </w:pPr>
            <w:r>
              <w:rPr>
                <w:b/>
                <w:color w:val="FFFFFF"/>
                <w:sz w:val="19"/>
              </w:rPr>
              <w:t>求め方（計算公式）</w:t>
            </w:r>
          </w:p>
        </w:tc>
        <w:tc>
          <w:tcPr>
            <w:tcW w:w="3888" w:type="dxa"/>
            <w:shd w:val="clear" w:color="auto" w:fill="1B365D"/>
            <w:tcMar>
              <w:top w:w="100" w:type="dxa"/>
              <w:left w:w="150" w:type="dxa"/>
              <w:bottom w:w="100" w:type="dxa"/>
              <w:right w:w="150" w:type="dxa"/>
            </w:tcMar>
          </w:tcPr>
          <w:p w14:paraId="70119709" w14:textId="77777777" w:rsidR="00674E15" w:rsidRDefault="00000000">
            <w:pPr>
              <w:rPr>
                <w:rFonts w:hint="eastAsia"/>
                <w:lang w:eastAsia="ja-JP"/>
              </w:rPr>
            </w:pPr>
            <w:r>
              <w:rPr>
                <w:b/>
                <w:color w:val="FFFFFF"/>
                <w:sz w:val="19"/>
                <w:lang w:eastAsia="ja-JP"/>
              </w:rPr>
              <w:t>ビジネス上の意味・Excel入力のポイント</w:t>
            </w:r>
          </w:p>
        </w:tc>
      </w:tr>
      <w:tr w:rsidR="00674E15" w14:paraId="0B0FB41C" w14:textId="77777777">
        <w:trPr>
          <w:jc w:val="center"/>
        </w:trPr>
        <w:tc>
          <w:tcPr>
            <w:tcW w:w="2592" w:type="dxa"/>
            <w:shd w:val="clear" w:color="auto" w:fill="F9FAFC"/>
            <w:tcMar>
              <w:top w:w="100" w:type="dxa"/>
              <w:left w:w="150" w:type="dxa"/>
              <w:bottom w:w="100" w:type="dxa"/>
              <w:right w:w="150" w:type="dxa"/>
            </w:tcMar>
          </w:tcPr>
          <w:p w14:paraId="3223E23C" w14:textId="77777777" w:rsidR="00674E15" w:rsidRDefault="00000000">
            <w:pPr>
              <w:rPr>
                <w:rFonts w:hint="eastAsia"/>
              </w:rPr>
            </w:pPr>
            <w:r>
              <w:rPr>
                <w:b/>
                <w:sz w:val="18"/>
              </w:rPr>
              <w:t>売上構成比</w:t>
            </w:r>
          </w:p>
        </w:tc>
        <w:tc>
          <w:tcPr>
            <w:tcW w:w="3168" w:type="dxa"/>
            <w:shd w:val="clear" w:color="auto" w:fill="F9FAFC"/>
            <w:tcMar>
              <w:top w:w="100" w:type="dxa"/>
              <w:left w:w="150" w:type="dxa"/>
              <w:bottom w:w="100" w:type="dxa"/>
              <w:right w:w="150" w:type="dxa"/>
            </w:tcMar>
          </w:tcPr>
          <w:p w14:paraId="25AAF7A2" w14:textId="77777777" w:rsidR="00674E15" w:rsidRDefault="00000000">
            <w:pPr>
              <w:rPr>
                <w:rFonts w:hint="eastAsia"/>
                <w:lang w:eastAsia="ja-JP"/>
              </w:rPr>
            </w:pPr>
            <w:r>
              <w:rPr>
                <w:sz w:val="18"/>
                <w:lang w:eastAsia="ja-JP"/>
              </w:rPr>
              <w:t>各項目の売上高 ÷ 売上高合計 × 100</w:t>
            </w:r>
          </w:p>
        </w:tc>
        <w:tc>
          <w:tcPr>
            <w:tcW w:w="3888" w:type="dxa"/>
            <w:shd w:val="clear" w:color="auto" w:fill="F9FAFC"/>
            <w:tcMar>
              <w:top w:w="100" w:type="dxa"/>
              <w:left w:w="150" w:type="dxa"/>
              <w:bottom w:w="100" w:type="dxa"/>
              <w:right w:w="150" w:type="dxa"/>
            </w:tcMar>
          </w:tcPr>
          <w:p w14:paraId="2AEAC18B" w14:textId="77777777" w:rsidR="00674E15" w:rsidRDefault="00000000">
            <w:pPr>
              <w:rPr>
                <w:rFonts w:hint="eastAsia"/>
                <w:lang w:eastAsia="ja-JP"/>
              </w:rPr>
            </w:pPr>
            <w:r>
              <w:rPr>
                <w:sz w:val="18"/>
                <w:lang w:eastAsia="ja-JP"/>
              </w:rPr>
              <w:t>全体に対する割合。合計セルを $ マークで絶対参照固定。</w:t>
            </w:r>
          </w:p>
        </w:tc>
      </w:tr>
      <w:tr w:rsidR="00674E15" w14:paraId="2206FD65" w14:textId="77777777">
        <w:trPr>
          <w:jc w:val="center"/>
        </w:trPr>
        <w:tc>
          <w:tcPr>
            <w:tcW w:w="2592" w:type="dxa"/>
            <w:tcMar>
              <w:top w:w="100" w:type="dxa"/>
              <w:left w:w="150" w:type="dxa"/>
              <w:bottom w:w="100" w:type="dxa"/>
              <w:right w:w="150" w:type="dxa"/>
            </w:tcMar>
          </w:tcPr>
          <w:p w14:paraId="747D5C01" w14:textId="77777777" w:rsidR="00674E15" w:rsidRDefault="00000000">
            <w:pPr>
              <w:rPr>
                <w:rFonts w:hint="eastAsia"/>
              </w:rPr>
            </w:pPr>
            <w:r>
              <w:rPr>
                <w:b/>
                <w:sz w:val="18"/>
              </w:rPr>
              <w:t>前年比（伸び率）</w:t>
            </w:r>
          </w:p>
        </w:tc>
        <w:tc>
          <w:tcPr>
            <w:tcW w:w="3168" w:type="dxa"/>
            <w:tcMar>
              <w:top w:w="100" w:type="dxa"/>
              <w:left w:w="150" w:type="dxa"/>
              <w:bottom w:w="100" w:type="dxa"/>
              <w:right w:w="150" w:type="dxa"/>
            </w:tcMar>
          </w:tcPr>
          <w:p w14:paraId="083F774C" w14:textId="77777777" w:rsidR="00674E15" w:rsidRDefault="00000000">
            <w:pPr>
              <w:rPr>
                <w:rFonts w:hint="eastAsia"/>
              </w:rPr>
            </w:pPr>
            <w:r>
              <w:rPr>
                <w:sz w:val="18"/>
              </w:rPr>
              <w:t>当期実績 ÷ 前年実績 × 100</w:t>
            </w:r>
          </w:p>
        </w:tc>
        <w:tc>
          <w:tcPr>
            <w:tcW w:w="3888" w:type="dxa"/>
            <w:tcMar>
              <w:top w:w="100" w:type="dxa"/>
              <w:left w:w="150" w:type="dxa"/>
              <w:bottom w:w="100" w:type="dxa"/>
              <w:right w:w="150" w:type="dxa"/>
            </w:tcMar>
          </w:tcPr>
          <w:p w14:paraId="05D04580" w14:textId="77777777" w:rsidR="00674E15" w:rsidRDefault="00000000">
            <w:pPr>
              <w:rPr>
                <w:rFonts w:hint="eastAsia"/>
                <w:lang w:eastAsia="ja-JP"/>
              </w:rPr>
            </w:pPr>
            <w:r>
              <w:rPr>
                <w:sz w:val="18"/>
                <w:lang w:eastAsia="ja-JP"/>
              </w:rPr>
              <w:t>前年に対する成長度。100%超で増収（表示形式は%）。</w:t>
            </w:r>
          </w:p>
        </w:tc>
      </w:tr>
      <w:tr w:rsidR="00674E15" w14:paraId="19583E8E" w14:textId="77777777">
        <w:trPr>
          <w:jc w:val="center"/>
        </w:trPr>
        <w:tc>
          <w:tcPr>
            <w:tcW w:w="2592" w:type="dxa"/>
            <w:shd w:val="clear" w:color="auto" w:fill="F9FAFC"/>
            <w:tcMar>
              <w:top w:w="100" w:type="dxa"/>
              <w:left w:w="150" w:type="dxa"/>
              <w:bottom w:w="100" w:type="dxa"/>
              <w:right w:w="150" w:type="dxa"/>
            </w:tcMar>
          </w:tcPr>
          <w:p w14:paraId="0133C085" w14:textId="77777777" w:rsidR="00674E15" w:rsidRDefault="00000000">
            <w:pPr>
              <w:rPr>
                <w:rFonts w:hint="eastAsia"/>
              </w:rPr>
            </w:pPr>
            <w:r>
              <w:rPr>
                <w:b/>
                <w:sz w:val="18"/>
              </w:rPr>
              <w:t>粗利益（売上総利益）</w:t>
            </w:r>
          </w:p>
        </w:tc>
        <w:tc>
          <w:tcPr>
            <w:tcW w:w="3168" w:type="dxa"/>
            <w:shd w:val="clear" w:color="auto" w:fill="F9FAFC"/>
            <w:tcMar>
              <w:top w:w="100" w:type="dxa"/>
              <w:left w:w="150" w:type="dxa"/>
              <w:bottom w:w="100" w:type="dxa"/>
              <w:right w:w="150" w:type="dxa"/>
            </w:tcMar>
          </w:tcPr>
          <w:p w14:paraId="396D63F7" w14:textId="77777777" w:rsidR="00674E15" w:rsidRDefault="00000000">
            <w:pPr>
              <w:rPr>
                <w:rFonts w:hint="eastAsia"/>
              </w:rPr>
            </w:pPr>
            <w:r>
              <w:rPr>
                <w:sz w:val="18"/>
              </w:rPr>
              <w:t>売上高 － 売上原価</w:t>
            </w:r>
          </w:p>
        </w:tc>
        <w:tc>
          <w:tcPr>
            <w:tcW w:w="3888" w:type="dxa"/>
            <w:shd w:val="clear" w:color="auto" w:fill="F9FAFC"/>
            <w:tcMar>
              <w:top w:w="100" w:type="dxa"/>
              <w:left w:w="150" w:type="dxa"/>
              <w:bottom w:w="100" w:type="dxa"/>
              <w:right w:w="150" w:type="dxa"/>
            </w:tcMar>
          </w:tcPr>
          <w:p w14:paraId="34A0D6AB" w14:textId="77777777" w:rsidR="00674E15" w:rsidRDefault="00000000">
            <w:pPr>
              <w:rPr>
                <w:rFonts w:hint="eastAsia"/>
                <w:lang w:eastAsia="ja-JP"/>
              </w:rPr>
            </w:pPr>
            <w:r>
              <w:rPr>
                <w:sz w:val="18"/>
                <w:lang w:eastAsia="ja-JP"/>
              </w:rPr>
              <w:t>商品・サービスそのものが生み出した基本的な利益。</w:t>
            </w:r>
          </w:p>
        </w:tc>
      </w:tr>
      <w:tr w:rsidR="00674E15" w14:paraId="20E80102" w14:textId="77777777">
        <w:trPr>
          <w:jc w:val="center"/>
        </w:trPr>
        <w:tc>
          <w:tcPr>
            <w:tcW w:w="2592" w:type="dxa"/>
            <w:tcMar>
              <w:top w:w="100" w:type="dxa"/>
              <w:left w:w="150" w:type="dxa"/>
              <w:bottom w:w="100" w:type="dxa"/>
              <w:right w:w="150" w:type="dxa"/>
            </w:tcMar>
          </w:tcPr>
          <w:p w14:paraId="69649EA8" w14:textId="77777777" w:rsidR="00674E15" w:rsidRDefault="00000000">
            <w:pPr>
              <w:rPr>
                <w:rFonts w:hint="eastAsia"/>
              </w:rPr>
            </w:pPr>
            <w:r>
              <w:rPr>
                <w:b/>
                <w:sz w:val="18"/>
              </w:rPr>
              <w:t>粗利益率</w:t>
            </w:r>
          </w:p>
        </w:tc>
        <w:tc>
          <w:tcPr>
            <w:tcW w:w="3168" w:type="dxa"/>
            <w:tcMar>
              <w:top w:w="100" w:type="dxa"/>
              <w:left w:w="150" w:type="dxa"/>
              <w:bottom w:w="100" w:type="dxa"/>
              <w:right w:w="150" w:type="dxa"/>
            </w:tcMar>
          </w:tcPr>
          <w:p w14:paraId="54278166" w14:textId="77777777" w:rsidR="00674E15" w:rsidRDefault="00000000">
            <w:pPr>
              <w:rPr>
                <w:rFonts w:hint="eastAsia"/>
              </w:rPr>
            </w:pPr>
            <w:r>
              <w:rPr>
                <w:sz w:val="18"/>
              </w:rPr>
              <w:t>粗利益 ÷ 売上高 × 100</w:t>
            </w:r>
          </w:p>
        </w:tc>
        <w:tc>
          <w:tcPr>
            <w:tcW w:w="3888" w:type="dxa"/>
            <w:tcMar>
              <w:top w:w="100" w:type="dxa"/>
              <w:left w:w="150" w:type="dxa"/>
              <w:bottom w:w="100" w:type="dxa"/>
              <w:right w:w="150" w:type="dxa"/>
            </w:tcMar>
          </w:tcPr>
          <w:p w14:paraId="0A9C1540" w14:textId="77777777" w:rsidR="00674E15" w:rsidRDefault="00000000">
            <w:pPr>
              <w:rPr>
                <w:rFonts w:hint="eastAsia"/>
                <w:lang w:eastAsia="ja-JP"/>
              </w:rPr>
            </w:pPr>
            <w:r>
              <w:rPr>
                <w:sz w:val="18"/>
                <w:lang w:eastAsia="ja-JP"/>
              </w:rPr>
              <w:t>収益性を表す重要指標。高いほど商品力が高い。</w:t>
            </w:r>
          </w:p>
        </w:tc>
      </w:tr>
      <w:tr w:rsidR="00674E15" w14:paraId="6C356436" w14:textId="77777777">
        <w:trPr>
          <w:jc w:val="center"/>
        </w:trPr>
        <w:tc>
          <w:tcPr>
            <w:tcW w:w="2592" w:type="dxa"/>
            <w:shd w:val="clear" w:color="auto" w:fill="F9FAFC"/>
            <w:tcMar>
              <w:top w:w="100" w:type="dxa"/>
              <w:left w:w="150" w:type="dxa"/>
              <w:bottom w:w="100" w:type="dxa"/>
              <w:right w:w="150" w:type="dxa"/>
            </w:tcMar>
          </w:tcPr>
          <w:p w14:paraId="7F7B6B83" w14:textId="77777777" w:rsidR="00674E15" w:rsidRDefault="00000000">
            <w:pPr>
              <w:rPr>
                <w:rFonts w:hint="eastAsia"/>
              </w:rPr>
            </w:pPr>
            <w:r>
              <w:rPr>
                <w:b/>
                <w:sz w:val="18"/>
              </w:rPr>
              <w:t>販売管理費率（経費率）</w:t>
            </w:r>
          </w:p>
        </w:tc>
        <w:tc>
          <w:tcPr>
            <w:tcW w:w="3168" w:type="dxa"/>
            <w:shd w:val="clear" w:color="auto" w:fill="F9FAFC"/>
            <w:tcMar>
              <w:top w:w="100" w:type="dxa"/>
              <w:left w:w="150" w:type="dxa"/>
              <w:bottom w:w="100" w:type="dxa"/>
              <w:right w:w="150" w:type="dxa"/>
            </w:tcMar>
          </w:tcPr>
          <w:p w14:paraId="3CD86CDD" w14:textId="77777777" w:rsidR="00674E15" w:rsidRDefault="00000000">
            <w:pPr>
              <w:rPr>
                <w:rFonts w:hint="eastAsia"/>
              </w:rPr>
            </w:pPr>
            <w:r>
              <w:rPr>
                <w:sz w:val="18"/>
              </w:rPr>
              <w:t>販売管理費（経費） ÷ 売上高 × 100</w:t>
            </w:r>
          </w:p>
        </w:tc>
        <w:tc>
          <w:tcPr>
            <w:tcW w:w="3888" w:type="dxa"/>
            <w:shd w:val="clear" w:color="auto" w:fill="F9FAFC"/>
            <w:tcMar>
              <w:top w:w="100" w:type="dxa"/>
              <w:left w:w="150" w:type="dxa"/>
              <w:bottom w:w="100" w:type="dxa"/>
              <w:right w:w="150" w:type="dxa"/>
            </w:tcMar>
          </w:tcPr>
          <w:p w14:paraId="55D51FE4" w14:textId="77777777" w:rsidR="00674E15" w:rsidRDefault="00000000">
            <w:pPr>
              <w:rPr>
                <w:rFonts w:hint="eastAsia"/>
              </w:rPr>
            </w:pPr>
            <w:r>
              <w:rPr>
                <w:sz w:val="18"/>
                <w:lang w:eastAsia="ja-JP"/>
              </w:rPr>
              <w:t>売上高に対する営業経費の割合。</w:t>
            </w:r>
            <w:r>
              <w:rPr>
                <w:sz w:val="18"/>
              </w:rPr>
              <w:t>コスト管理の指標。</w:t>
            </w:r>
          </w:p>
        </w:tc>
      </w:tr>
      <w:tr w:rsidR="00674E15" w14:paraId="06308FC9" w14:textId="77777777">
        <w:trPr>
          <w:jc w:val="center"/>
        </w:trPr>
        <w:tc>
          <w:tcPr>
            <w:tcW w:w="2592" w:type="dxa"/>
            <w:tcMar>
              <w:top w:w="100" w:type="dxa"/>
              <w:left w:w="150" w:type="dxa"/>
              <w:bottom w:w="100" w:type="dxa"/>
              <w:right w:w="150" w:type="dxa"/>
            </w:tcMar>
          </w:tcPr>
          <w:p w14:paraId="57526B85" w14:textId="77777777" w:rsidR="00674E15" w:rsidRDefault="00000000">
            <w:pPr>
              <w:rPr>
                <w:rFonts w:hint="eastAsia"/>
              </w:rPr>
            </w:pPr>
            <w:r>
              <w:rPr>
                <w:b/>
                <w:sz w:val="18"/>
              </w:rPr>
              <w:t>限界利益</w:t>
            </w:r>
          </w:p>
        </w:tc>
        <w:tc>
          <w:tcPr>
            <w:tcW w:w="3168" w:type="dxa"/>
            <w:tcMar>
              <w:top w:w="100" w:type="dxa"/>
              <w:left w:w="150" w:type="dxa"/>
              <w:bottom w:w="100" w:type="dxa"/>
              <w:right w:w="150" w:type="dxa"/>
            </w:tcMar>
          </w:tcPr>
          <w:p w14:paraId="0FF3A98E" w14:textId="77777777" w:rsidR="00674E15" w:rsidRDefault="00000000">
            <w:pPr>
              <w:rPr>
                <w:rFonts w:hint="eastAsia"/>
              </w:rPr>
            </w:pPr>
            <w:r>
              <w:rPr>
                <w:sz w:val="18"/>
              </w:rPr>
              <w:t>売上高 － 変動費</w:t>
            </w:r>
          </w:p>
        </w:tc>
        <w:tc>
          <w:tcPr>
            <w:tcW w:w="3888" w:type="dxa"/>
            <w:tcMar>
              <w:top w:w="100" w:type="dxa"/>
              <w:left w:w="150" w:type="dxa"/>
              <w:bottom w:w="100" w:type="dxa"/>
              <w:right w:w="150" w:type="dxa"/>
            </w:tcMar>
          </w:tcPr>
          <w:p w14:paraId="11BC7711" w14:textId="77777777" w:rsidR="00674E15" w:rsidRDefault="00000000">
            <w:pPr>
              <w:rPr>
                <w:rFonts w:hint="eastAsia"/>
                <w:lang w:eastAsia="ja-JP"/>
              </w:rPr>
            </w:pPr>
            <w:r>
              <w:rPr>
                <w:sz w:val="18"/>
                <w:lang w:eastAsia="ja-JP"/>
              </w:rPr>
              <w:t>固定費を回収し利益を生み出す源泉となる利益。</w:t>
            </w:r>
          </w:p>
        </w:tc>
      </w:tr>
      <w:tr w:rsidR="00674E15" w14:paraId="4CCEE018" w14:textId="77777777">
        <w:trPr>
          <w:jc w:val="center"/>
        </w:trPr>
        <w:tc>
          <w:tcPr>
            <w:tcW w:w="2592" w:type="dxa"/>
            <w:shd w:val="clear" w:color="auto" w:fill="F9FAFC"/>
            <w:tcMar>
              <w:top w:w="100" w:type="dxa"/>
              <w:left w:w="150" w:type="dxa"/>
              <w:bottom w:w="100" w:type="dxa"/>
              <w:right w:w="150" w:type="dxa"/>
            </w:tcMar>
          </w:tcPr>
          <w:p w14:paraId="1008C5E0" w14:textId="77777777" w:rsidR="00674E15" w:rsidRDefault="00000000">
            <w:pPr>
              <w:rPr>
                <w:rFonts w:hint="eastAsia"/>
              </w:rPr>
            </w:pPr>
            <w:r>
              <w:rPr>
                <w:b/>
                <w:sz w:val="18"/>
              </w:rPr>
              <w:t>限界利益率</w:t>
            </w:r>
          </w:p>
        </w:tc>
        <w:tc>
          <w:tcPr>
            <w:tcW w:w="3168" w:type="dxa"/>
            <w:shd w:val="clear" w:color="auto" w:fill="F9FAFC"/>
            <w:tcMar>
              <w:top w:w="100" w:type="dxa"/>
              <w:left w:w="150" w:type="dxa"/>
              <w:bottom w:w="100" w:type="dxa"/>
              <w:right w:w="150" w:type="dxa"/>
            </w:tcMar>
          </w:tcPr>
          <w:p w14:paraId="3B9BCA2A" w14:textId="77777777" w:rsidR="00674E15" w:rsidRDefault="00000000">
            <w:pPr>
              <w:rPr>
                <w:rFonts w:hint="eastAsia"/>
              </w:rPr>
            </w:pPr>
            <w:r>
              <w:rPr>
                <w:sz w:val="18"/>
              </w:rPr>
              <w:t>限界利益 ÷ 売上高 × 100</w:t>
            </w:r>
          </w:p>
        </w:tc>
        <w:tc>
          <w:tcPr>
            <w:tcW w:w="3888" w:type="dxa"/>
            <w:shd w:val="clear" w:color="auto" w:fill="F9FAFC"/>
            <w:tcMar>
              <w:top w:w="100" w:type="dxa"/>
              <w:left w:w="150" w:type="dxa"/>
              <w:bottom w:w="100" w:type="dxa"/>
              <w:right w:w="150" w:type="dxa"/>
            </w:tcMar>
          </w:tcPr>
          <w:p w14:paraId="62A7720A" w14:textId="77777777" w:rsidR="00674E15" w:rsidRDefault="00000000">
            <w:pPr>
              <w:rPr>
                <w:rFonts w:hint="eastAsia"/>
                <w:lang w:eastAsia="ja-JP"/>
              </w:rPr>
            </w:pPr>
            <w:r>
              <w:rPr>
                <w:sz w:val="18"/>
                <w:lang w:eastAsia="ja-JP"/>
              </w:rPr>
              <w:t>売上が1単位増えた時にどれだけ限界利益が増えるかの割合。</w:t>
            </w:r>
          </w:p>
        </w:tc>
      </w:tr>
      <w:tr w:rsidR="00674E15" w14:paraId="6D68F270" w14:textId="77777777">
        <w:trPr>
          <w:jc w:val="center"/>
        </w:trPr>
        <w:tc>
          <w:tcPr>
            <w:tcW w:w="2592" w:type="dxa"/>
            <w:tcMar>
              <w:top w:w="100" w:type="dxa"/>
              <w:left w:w="150" w:type="dxa"/>
              <w:bottom w:w="100" w:type="dxa"/>
              <w:right w:w="150" w:type="dxa"/>
            </w:tcMar>
          </w:tcPr>
          <w:p w14:paraId="3777D93A" w14:textId="77777777" w:rsidR="00674E15" w:rsidRDefault="00000000">
            <w:pPr>
              <w:rPr>
                <w:rFonts w:hint="eastAsia"/>
              </w:rPr>
            </w:pPr>
            <w:r>
              <w:rPr>
                <w:b/>
                <w:sz w:val="18"/>
              </w:rPr>
              <w:t>損益分岐点売上高（BEP）</w:t>
            </w:r>
          </w:p>
        </w:tc>
        <w:tc>
          <w:tcPr>
            <w:tcW w:w="3168" w:type="dxa"/>
            <w:tcMar>
              <w:top w:w="100" w:type="dxa"/>
              <w:left w:w="150" w:type="dxa"/>
              <w:bottom w:w="100" w:type="dxa"/>
              <w:right w:w="150" w:type="dxa"/>
            </w:tcMar>
          </w:tcPr>
          <w:p w14:paraId="0BD55E1D" w14:textId="77777777" w:rsidR="00674E15" w:rsidRDefault="00000000">
            <w:pPr>
              <w:rPr>
                <w:rFonts w:hint="eastAsia"/>
              </w:rPr>
            </w:pPr>
            <w:r>
              <w:rPr>
                <w:sz w:val="18"/>
              </w:rPr>
              <w:t>固定費 ÷ 限界利益率</w:t>
            </w:r>
          </w:p>
        </w:tc>
        <w:tc>
          <w:tcPr>
            <w:tcW w:w="3888" w:type="dxa"/>
            <w:tcMar>
              <w:top w:w="100" w:type="dxa"/>
              <w:left w:w="150" w:type="dxa"/>
              <w:bottom w:w="100" w:type="dxa"/>
              <w:right w:w="150" w:type="dxa"/>
            </w:tcMar>
          </w:tcPr>
          <w:p w14:paraId="1388426C" w14:textId="77777777" w:rsidR="00674E15" w:rsidRDefault="00000000">
            <w:pPr>
              <w:rPr>
                <w:rFonts w:hint="eastAsia"/>
                <w:lang w:eastAsia="ja-JP"/>
              </w:rPr>
            </w:pPr>
            <w:r>
              <w:rPr>
                <w:sz w:val="18"/>
                <w:lang w:eastAsia="ja-JP"/>
              </w:rPr>
              <w:t>損益がプラスマイナスゼロ（プラマイゼロ）になる最低限必要な売上高。</w:t>
            </w:r>
          </w:p>
        </w:tc>
      </w:tr>
    </w:tbl>
    <w:p w14:paraId="6E299E48" w14:textId="77777777" w:rsidR="00674E15" w:rsidRDefault="00000000">
      <w:pPr>
        <w:keepNext/>
        <w:pBdr>
          <w:bottom w:val="single" w:sz="14" w:space="4" w:color="1B365D"/>
        </w:pBdr>
        <w:spacing w:before="360" w:after="160"/>
        <w:rPr>
          <w:rFonts w:hint="eastAsia"/>
          <w:lang w:eastAsia="ja-JP"/>
        </w:rPr>
      </w:pPr>
      <w:r>
        <w:rPr>
          <w:b/>
          <w:color w:val="1B365D"/>
          <w:sz w:val="30"/>
          <w:lang w:eastAsia="ja-JP"/>
        </w:rPr>
        <w:t>第3章 多次元データ集計と高度グラフ作成テクニック</w:t>
      </w:r>
    </w:p>
    <w:p w14:paraId="4DAA2A10" w14:textId="77777777" w:rsidR="00674E15" w:rsidRDefault="00000000">
      <w:pPr>
        <w:keepNext/>
        <w:spacing w:before="280" w:after="120"/>
        <w:rPr>
          <w:rFonts w:hint="eastAsia"/>
          <w:lang w:eastAsia="ja-JP"/>
        </w:rPr>
      </w:pPr>
      <w:r>
        <w:rPr>
          <w:b/>
          <w:color w:val="2E5B88"/>
          <w:sz w:val="24"/>
          <w:lang w:eastAsia="ja-JP"/>
        </w:rPr>
        <w:t>1. ピボットテーブルの高度活用</w:t>
      </w:r>
    </w:p>
    <w:p w14:paraId="141C9609" w14:textId="77777777" w:rsidR="00674E15" w:rsidRDefault="00000000">
      <w:pPr>
        <w:spacing w:before="60" w:after="60"/>
        <w:ind w:left="288"/>
        <w:rPr>
          <w:rFonts w:hint="eastAsia"/>
          <w:lang w:eastAsia="ja-JP"/>
        </w:rPr>
      </w:pPr>
      <w:r>
        <w:rPr>
          <w:b/>
          <w:color w:val="1B365D"/>
          <w:sz w:val="19"/>
          <w:lang w:eastAsia="ja-JP"/>
        </w:rPr>
        <w:t>■ 多次元クロス集計：</w:t>
      </w:r>
      <w:r>
        <w:rPr>
          <w:sz w:val="19"/>
          <w:lang w:eastAsia="ja-JP"/>
        </w:rPr>
        <w:t>「行」「列」「値」「フィルター」を最適に配置し、売上高や利益を店舗×月別・商品×カテゴリ別などの多角視点で集計。</w:t>
      </w:r>
    </w:p>
    <w:p w14:paraId="27B4922A" w14:textId="77777777" w:rsidR="00674E15" w:rsidRDefault="00000000">
      <w:pPr>
        <w:spacing w:before="60" w:after="60"/>
        <w:ind w:left="288"/>
        <w:rPr>
          <w:rFonts w:hint="eastAsia"/>
          <w:lang w:eastAsia="ja-JP"/>
        </w:rPr>
      </w:pPr>
      <w:r>
        <w:rPr>
          <w:b/>
          <w:color w:val="1B365D"/>
          <w:sz w:val="19"/>
          <w:lang w:eastAsia="ja-JP"/>
        </w:rPr>
        <w:t>■ 日付・数値のグループ化：</w:t>
      </w:r>
      <w:r>
        <w:rPr>
          <w:sz w:val="19"/>
          <w:lang w:eastAsia="ja-JP"/>
        </w:rPr>
        <w:t>日付データを右クリックし「グループ化」で月別・四半期別・年別に自動集計。数値も一定範囲刻みに集計。</w:t>
      </w:r>
    </w:p>
    <w:p w14:paraId="55582641" w14:textId="77777777" w:rsidR="00674E15" w:rsidRDefault="00000000">
      <w:pPr>
        <w:spacing w:before="60" w:after="60"/>
        <w:ind w:left="288"/>
        <w:rPr>
          <w:rFonts w:hint="eastAsia"/>
          <w:lang w:eastAsia="ja-JP"/>
        </w:rPr>
      </w:pPr>
      <w:r>
        <w:rPr>
          <w:b/>
          <w:color w:val="1B365D"/>
          <w:sz w:val="19"/>
          <w:lang w:eastAsia="ja-JP"/>
        </w:rPr>
        <w:t>■ 集計方法と計算の種類の変更：</w:t>
      </w:r>
      <w:r>
        <w:rPr>
          <w:sz w:val="19"/>
          <w:lang w:eastAsia="ja-JP"/>
        </w:rPr>
        <w:t>「値フィールドの設定」で合計を「平均」「件数」に変更、また「列集計に対する比率（構成比%）」でシェア率を動的表示。</w:t>
      </w:r>
    </w:p>
    <w:p w14:paraId="31C07304" w14:textId="77777777" w:rsidR="00674E15" w:rsidRDefault="00000000">
      <w:pPr>
        <w:keepNext/>
        <w:spacing w:before="280" w:after="120"/>
        <w:rPr>
          <w:rFonts w:hint="eastAsia"/>
          <w:lang w:eastAsia="ja-JP"/>
        </w:rPr>
      </w:pPr>
      <w:r>
        <w:rPr>
          <w:b/>
          <w:color w:val="2E5B88"/>
          <w:sz w:val="24"/>
          <w:lang w:eastAsia="ja-JP"/>
        </w:rPr>
        <w:t>2. 2級で出題される高度な応用グラフと作成目的</w:t>
      </w:r>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2592"/>
        <w:gridCol w:w="3456"/>
        <w:gridCol w:w="3600"/>
      </w:tblGrid>
      <w:tr w:rsidR="00674E15" w14:paraId="1F711431" w14:textId="77777777">
        <w:trPr>
          <w:jc w:val="center"/>
        </w:trPr>
        <w:tc>
          <w:tcPr>
            <w:tcW w:w="2592" w:type="dxa"/>
            <w:shd w:val="clear" w:color="auto" w:fill="1B365D"/>
            <w:tcMar>
              <w:top w:w="100" w:type="dxa"/>
              <w:left w:w="150" w:type="dxa"/>
              <w:bottom w:w="100" w:type="dxa"/>
              <w:right w:w="150" w:type="dxa"/>
            </w:tcMar>
          </w:tcPr>
          <w:p w14:paraId="3F092D68" w14:textId="77777777" w:rsidR="00674E15" w:rsidRDefault="00000000">
            <w:pPr>
              <w:rPr>
                <w:rFonts w:hint="eastAsia"/>
              </w:rPr>
            </w:pPr>
            <w:r>
              <w:rPr>
                <w:b/>
                <w:color w:val="FFFFFF"/>
                <w:sz w:val="19"/>
              </w:rPr>
              <w:t>グラフの種類</w:t>
            </w:r>
          </w:p>
        </w:tc>
        <w:tc>
          <w:tcPr>
            <w:tcW w:w="3456" w:type="dxa"/>
            <w:shd w:val="clear" w:color="auto" w:fill="1B365D"/>
            <w:tcMar>
              <w:top w:w="100" w:type="dxa"/>
              <w:left w:w="150" w:type="dxa"/>
              <w:bottom w:w="100" w:type="dxa"/>
              <w:right w:w="150" w:type="dxa"/>
            </w:tcMar>
          </w:tcPr>
          <w:p w14:paraId="5E1FB729" w14:textId="77777777" w:rsidR="00674E15" w:rsidRDefault="00000000">
            <w:pPr>
              <w:rPr>
                <w:rFonts w:hint="eastAsia"/>
              </w:rPr>
            </w:pPr>
            <w:r>
              <w:rPr>
                <w:b/>
                <w:color w:val="FFFFFF"/>
                <w:sz w:val="19"/>
              </w:rPr>
              <w:t>主な分析目的</w:t>
            </w:r>
          </w:p>
        </w:tc>
        <w:tc>
          <w:tcPr>
            <w:tcW w:w="3600" w:type="dxa"/>
            <w:shd w:val="clear" w:color="auto" w:fill="1B365D"/>
            <w:tcMar>
              <w:top w:w="100" w:type="dxa"/>
              <w:left w:w="150" w:type="dxa"/>
              <w:bottom w:w="100" w:type="dxa"/>
              <w:right w:w="150" w:type="dxa"/>
            </w:tcMar>
          </w:tcPr>
          <w:p w14:paraId="01C28B92" w14:textId="77777777" w:rsidR="00674E15" w:rsidRDefault="00000000">
            <w:pPr>
              <w:rPr>
                <w:rFonts w:hint="eastAsia"/>
                <w:lang w:eastAsia="ja-JP"/>
              </w:rPr>
            </w:pPr>
            <w:r>
              <w:rPr>
                <w:b/>
                <w:color w:val="FFFFFF"/>
                <w:sz w:val="19"/>
                <w:lang w:eastAsia="ja-JP"/>
              </w:rPr>
              <w:t>適切なビジネスデータの例</w:t>
            </w:r>
          </w:p>
        </w:tc>
      </w:tr>
      <w:tr w:rsidR="00674E15" w14:paraId="5717E838" w14:textId="77777777">
        <w:trPr>
          <w:jc w:val="center"/>
        </w:trPr>
        <w:tc>
          <w:tcPr>
            <w:tcW w:w="2592" w:type="dxa"/>
            <w:shd w:val="clear" w:color="auto" w:fill="F9FAFC"/>
            <w:tcMar>
              <w:top w:w="100" w:type="dxa"/>
              <w:left w:w="150" w:type="dxa"/>
              <w:bottom w:w="100" w:type="dxa"/>
              <w:right w:w="150" w:type="dxa"/>
            </w:tcMar>
          </w:tcPr>
          <w:p w14:paraId="50205F76" w14:textId="77777777" w:rsidR="00674E15" w:rsidRDefault="00000000">
            <w:pPr>
              <w:rPr>
                <w:rFonts w:hint="eastAsia"/>
                <w:lang w:eastAsia="ja-JP"/>
              </w:rPr>
            </w:pPr>
            <w:r>
              <w:rPr>
                <w:b/>
                <w:sz w:val="18"/>
                <w:lang w:eastAsia="ja-JP"/>
              </w:rPr>
              <w:t>ABC分析（パレート図）</w:t>
            </w:r>
          </w:p>
        </w:tc>
        <w:tc>
          <w:tcPr>
            <w:tcW w:w="3456" w:type="dxa"/>
            <w:shd w:val="clear" w:color="auto" w:fill="F9FAFC"/>
            <w:tcMar>
              <w:top w:w="100" w:type="dxa"/>
              <w:left w:w="150" w:type="dxa"/>
              <w:bottom w:w="100" w:type="dxa"/>
              <w:right w:w="150" w:type="dxa"/>
            </w:tcMar>
          </w:tcPr>
          <w:p w14:paraId="04FB238A" w14:textId="77777777" w:rsidR="00674E15" w:rsidRDefault="00000000">
            <w:pPr>
              <w:rPr>
                <w:rFonts w:hint="eastAsia"/>
                <w:lang w:eastAsia="ja-JP"/>
              </w:rPr>
            </w:pPr>
            <w:r>
              <w:rPr>
                <w:sz w:val="18"/>
                <w:lang w:eastAsia="ja-JP"/>
              </w:rPr>
              <w:t>売上貢献度の高い重要商品（A群・B群・C群）の分類</w:t>
            </w:r>
          </w:p>
        </w:tc>
        <w:tc>
          <w:tcPr>
            <w:tcW w:w="3600" w:type="dxa"/>
            <w:shd w:val="clear" w:color="auto" w:fill="F9FAFC"/>
            <w:tcMar>
              <w:top w:w="100" w:type="dxa"/>
              <w:left w:w="150" w:type="dxa"/>
              <w:bottom w:w="100" w:type="dxa"/>
              <w:right w:w="150" w:type="dxa"/>
            </w:tcMar>
          </w:tcPr>
          <w:p w14:paraId="318F074D" w14:textId="77777777" w:rsidR="00674E15" w:rsidRDefault="00000000">
            <w:pPr>
              <w:rPr>
                <w:rFonts w:hint="eastAsia"/>
                <w:lang w:eastAsia="ja-JP"/>
              </w:rPr>
            </w:pPr>
            <w:r>
              <w:rPr>
                <w:sz w:val="18"/>
                <w:lang w:eastAsia="ja-JP"/>
              </w:rPr>
              <w:t>商品別売上高の大きい順＋累積構成比（折れ線）の複合グラフ。</w:t>
            </w:r>
          </w:p>
        </w:tc>
      </w:tr>
      <w:tr w:rsidR="00674E15" w14:paraId="56A9EE0A" w14:textId="77777777">
        <w:trPr>
          <w:jc w:val="center"/>
        </w:trPr>
        <w:tc>
          <w:tcPr>
            <w:tcW w:w="2592" w:type="dxa"/>
            <w:tcMar>
              <w:top w:w="100" w:type="dxa"/>
              <w:left w:w="150" w:type="dxa"/>
              <w:bottom w:w="100" w:type="dxa"/>
              <w:right w:w="150" w:type="dxa"/>
            </w:tcMar>
          </w:tcPr>
          <w:p w14:paraId="4B347E9D" w14:textId="77777777" w:rsidR="00674E15" w:rsidRDefault="00000000">
            <w:pPr>
              <w:rPr>
                <w:rFonts w:hint="eastAsia"/>
              </w:rPr>
            </w:pPr>
            <w:r>
              <w:rPr>
                <w:b/>
                <w:sz w:val="18"/>
              </w:rPr>
              <w:t>レーダーチャート</w:t>
            </w:r>
          </w:p>
        </w:tc>
        <w:tc>
          <w:tcPr>
            <w:tcW w:w="3456" w:type="dxa"/>
            <w:tcMar>
              <w:top w:w="100" w:type="dxa"/>
              <w:left w:w="150" w:type="dxa"/>
              <w:bottom w:w="100" w:type="dxa"/>
              <w:right w:w="150" w:type="dxa"/>
            </w:tcMar>
          </w:tcPr>
          <w:p w14:paraId="37EA37CF" w14:textId="77777777" w:rsidR="00674E15" w:rsidRDefault="00000000">
            <w:pPr>
              <w:rPr>
                <w:rFonts w:hint="eastAsia"/>
                <w:lang w:eastAsia="ja-JP"/>
              </w:rPr>
            </w:pPr>
            <w:r>
              <w:rPr>
                <w:sz w:val="18"/>
                <w:lang w:eastAsia="ja-JP"/>
              </w:rPr>
              <w:t>複数評価項目（スキル・商品特性等）のバランス比較</w:t>
            </w:r>
          </w:p>
        </w:tc>
        <w:tc>
          <w:tcPr>
            <w:tcW w:w="3600" w:type="dxa"/>
            <w:tcMar>
              <w:top w:w="100" w:type="dxa"/>
              <w:left w:w="150" w:type="dxa"/>
              <w:bottom w:w="100" w:type="dxa"/>
              <w:right w:w="150" w:type="dxa"/>
            </w:tcMar>
          </w:tcPr>
          <w:p w14:paraId="2F6BD3D2" w14:textId="77777777" w:rsidR="00674E15" w:rsidRDefault="00000000">
            <w:pPr>
              <w:rPr>
                <w:rFonts w:hint="eastAsia"/>
                <w:lang w:eastAsia="ja-JP"/>
              </w:rPr>
            </w:pPr>
            <w:r>
              <w:rPr>
                <w:sz w:val="18"/>
                <w:lang w:eastAsia="ja-JP"/>
              </w:rPr>
              <w:t>店舗別のサービス評価スコア、商品の性能多角評価。</w:t>
            </w:r>
          </w:p>
        </w:tc>
      </w:tr>
      <w:tr w:rsidR="00674E15" w14:paraId="3BF87707" w14:textId="77777777">
        <w:trPr>
          <w:jc w:val="center"/>
        </w:trPr>
        <w:tc>
          <w:tcPr>
            <w:tcW w:w="2592" w:type="dxa"/>
            <w:shd w:val="clear" w:color="auto" w:fill="F9FAFC"/>
            <w:tcMar>
              <w:top w:w="100" w:type="dxa"/>
              <w:left w:w="150" w:type="dxa"/>
              <w:bottom w:w="100" w:type="dxa"/>
              <w:right w:w="150" w:type="dxa"/>
            </w:tcMar>
          </w:tcPr>
          <w:p w14:paraId="501DCBCD" w14:textId="77777777" w:rsidR="00674E15" w:rsidRDefault="00000000">
            <w:pPr>
              <w:rPr>
                <w:rFonts w:hint="eastAsia"/>
              </w:rPr>
            </w:pPr>
            <w:r>
              <w:rPr>
                <w:b/>
                <w:sz w:val="18"/>
              </w:rPr>
              <w:t>散布図</w:t>
            </w:r>
          </w:p>
        </w:tc>
        <w:tc>
          <w:tcPr>
            <w:tcW w:w="3456" w:type="dxa"/>
            <w:shd w:val="clear" w:color="auto" w:fill="F9FAFC"/>
            <w:tcMar>
              <w:top w:w="100" w:type="dxa"/>
              <w:left w:w="150" w:type="dxa"/>
              <w:bottom w:w="100" w:type="dxa"/>
              <w:right w:w="150" w:type="dxa"/>
            </w:tcMar>
          </w:tcPr>
          <w:p w14:paraId="22204CF8" w14:textId="77777777" w:rsidR="00674E15" w:rsidRDefault="00000000">
            <w:pPr>
              <w:rPr>
                <w:rFonts w:hint="eastAsia"/>
                <w:lang w:eastAsia="ja-JP"/>
              </w:rPr>
            </w:pPr>
            <w:r>
              <w:rPr>
                <w:sz w:val="18"/>
                <w:lang w:eastAsia="ja-JP"/>
              </w:rPr>
              <w:t>2変数間の相関関係（正・負の相関）の分析</w:t>
            </w:r>
          </w:p>
        </w:tc>
        <w:tc>
          <w:tcPr>
            <w:tcW w:w="3600" w:type="dxa"/>
            <w:shd w:val="clear" w:color="auto" w:fill="F9FAFC"/>
            <w:tcMar>
              <w:top w:w="100" w:type="dxa"/>
              <w:left w:w="150" w:type="dxa"/>
              <w:bottom w:w="100" w:type="dxa"/>
              <w:right w:w="150" w:type="dxa"/>
            </w:tcMar>
          </w:tcPr>
          <w:p w14:paraId="4C35833C" w14:textId="77777777" w:rsidR="00674E15" w:rsidRDefault="00000000">
            <w:pPr>
              <w:rPr>
                <w:rFonts w:hint="eastAsia"/>
                <w:lang w:eastAsia="ja-JP"/>
              </w:rPr>
            </w:pPr>
            <w:r>
              <w:rPr>
                <w:sz w:val="18"/>
                <w:lang w:eastAsia="ja-JP"/>
              </w:rPr>
              <w:t>価格と販売数量の関係、広告宣伝費と売上高の相関。</w:t>
            </w:r>
          </w:p>
        </w:tc>
      </w:tr>
      <w:tr w:rsidR="00674E15" w14:paraId="5EE87019" w14:textId="77777777">
        <w:trPr>
          <w:jc w:val="center"/>
        </w:trPr>
        <w:tc>
          <w:tcPr>
            <w:tcW w:w="2592" w:type="dxa"/>
            <w:tcMar>
              <w:top w:w="100" w:type="dxa"/>
              <w:left w:w="150" w:type="dxa"/>
              <w:bottom w:w="100" w:type="dxa"/>
              <w:right w:w="150" w:type="dxa"/>
            </w:tcMar>
          </w:tcPr>
          <w:p w14:paraId="45FB2667" w14:textId="77777777" w:rsidR="00674E15" w:rsidRDefault="00000000">
            <w:pPr>
              <w:rPr>
                <w:rFonts w:hint="eastAsia"/>
                <w:lang w:eastAsia="ja-JP"/>
              </w:rPr>
            </w:pPr>
            <w:r>
              <w:rPr>
                <w:b/>
                <w:sz w:val="18"/>
                <w:lang w:eastAsia="ja-JP"/>
              </w:rPr>
              <w:t>第2軸を持つ複合グラフ</w:t>
            </w:r>
          </w:p>
        </w:tc>
        <w:tc>
          <w:tcPr>
            <w:tcW w:w="3456" w:type="dxa"/>
            <w:tcMar>
              <w:top w:w="100" w:type="dxa"/>
              <w:left w:w="150" w:type="dxa"/>
              <w:bottom w:w="100" w:type="dxa"/>
              <w:right w:w="150" w:type="dxa"/>
            </w:tcMar>
          </w:tcPr>
          <w:p w14:paraId="4EFD159C" w14:textId="77777777" w:rsidR="00674E15" w:rsidRDefault="00000000">
            <w:pPr>
              <w:rPr>
                <w:rFonts w:hint="eastAsia"/>
                <w:lang w:eastAsia="ja-JP"/>
              </w:rPr>
            </w:pPr>
            <w:r>
              <w:rPr>
                <w:sz w:val="18"/>
                <w:lang w:eastAsia="ja-JP"/>
              </w:rPr>
              <w:t>単位の異なる数値（金額と%）の一視覚化</w:t>
            </w:r>
          </w:p>
        </w:tc>
        <w:tc>
          <w:tcPr>
            <w:tcW w:w="3600" w:type="dxa"/>
            <w:tcMar>
              <w:top w:w="100" w:type="dxa"/>
              <w:left w:w="150" w:type="dxa"/>
              <w:bottom w:w="100" w:type="dxa"/>
              <w:right w:w="150" w:type="dxa"/>
            </w:tcMar>
          </w:tcPr>
          <w:p w14:paraId="5E32D37E" w14:textId="77777777" w:rsidR="00674E15" w:rsidRDefault="00000000">
            <w:pPr>
              <w:rPr>
                <w:rFonts w:hint="eastAsia"/>
                <w:lang w:eastAsia="ja-JP"/>
              </w:rPr>
            </w:pPr>
            <w:r>
              <w:rPr>
                <w:sz w:val="18"/>
                <w:lang w:eastAsia="ja-JP"/>
              </w:rPr>
              <w:t>売上高（主軸・縦棒）と前年比（第2軸・折れ線）の2軸グラフ。</w:t>
            </w:r>
          </w:p>
        </w:tc>
      </w:tr>
    </w:tbl>
    <w:p w14:paraId="16215B6E" w14:textId="77777777" w:rsidR="00674E15" w:rsidRDefault="00000000">
      <w:pPr>
        <w:keepNext/>
        <w:pBdr>
          <w:bottom w:val="single" w:sz="14" w:space="4" w:color="1B365D"/>
        </w:pBdr>
        <w:spacing w:before="360" w:after="160"/>
        <w:rPr>
          <w:rFonts w:hint="eastAsia"/>
          <w:lang w:eastAsia="ja-JP"/>
        </w:rPr>
      </w:pPr>
      <w:r>
        <w:rPr>
          <w:b/>
          <w:color w:val="1B365D"/>
          <w:sz w:val="30"/>
          <w:lang w:eastAsia="ja-JP"/>
        </w:rPr>
        <w:t>第4章 経営層に伝わる「業務報告書（レポート）」作成テクニック</w:t>
      </w:r>
    </w:p>
    <w:p w14:paraId="18BD5777" w14:textId="77777777" w:rsidR="00674E15" w:rsidRDefault="00000000">
      <w:pPr>
        <w:keepNext/>
        <w:spacing w:before="280" w:after="120"/>
        <w:rPr>
          <w:rFonts w:hint="eastAsia"/>
          <w:lang w:eastAsia="ja-JP"/>
        </w:rPr>
      </w:pPr>
      <w:r>
        <w:rPr>
          <w:b/>
          <w:color w:val="2E5B88"/>
          <w:sz w:val="24"/>
          <w:lang w:eastAsia="ja-JP"/>
        </w:rPr>
        <w:t>1. 業務報告書で求められる文章構成</w:t>
      </w:r>
    </w:p>
    <w:p w14:paraId="32D1352A" w14:textId="77777777" w:rsidR="00674E15" w:rsidRDefault="00000000">
      <w:pPr>
        <w:spacing w:after="120"/>
        <w:rPr>
          <w:rFonts w:hint="eastAsia"/>
          <w:lang w:eastAsia="ja-JP"/>
        </w:rPr>
      </w:pPr>
      <w:r>
        <w:rPr>
          <w:lang w:eastAsia="ja-JP"/>
        </w:rPr>
        <w:t>2級の実技試験では、集計・分析結果に基づき、経営層や上司に向けた「所見・報告文」を入力する設問があります。単に「売上が増えました」ではなく、以下の3要素を含めて論理的に記述することが重要です。</w:t>
      </w:r>
    </w:p>
    <w:p w14:paraId="1EF16A4C" w14:textId="77777777" w:rsidR="00674E15" w:rsidRDefault="00000000">
      <w:pPr>
        <w:spacing w:before="60" w:after="60"/>
        <w:ind w:left="288"/>
        <w:rPr>
          <w:rFonts w:hint="eastAsia"/>
          <w:lang w:eastAsia="ja-JP"/>
        </w:rPr>
      </w:pPr>
      <w:r>
        <w:rPr>
          <w:b/>
          <w:color w:val="1B365D"/>
          <w:sz w:val="19"/>
          <w:lang w:eastAsia="ja-JP"/>
        </w:rPr>
        <w:t>■ ① 現状把握（ファクト）：</w:t>
      </w:r>
      <w:r>
        <w:rPr>
          <w:sz w:val="19"/>
          <w:lang w:eastAsia="ja-JP"/>
        </w:rPr>
        <w:t>「2026年度の全社売上高は前年比115%と伸長したが、粗利益率は前年より3.2%低下した。」のように具体的な数値を挙げて述べる。</w:t>
      </w:r>
    </w:p>
    <w:p w14:paraId="2E879783" w14:textId="77777777" w:rsidR="00674E15" w:rsidRDefault="00000000">
      <w:pPr>
        <w:spacing w:before="60" w:after="60"/>
        <w:ind w:left="288"/>
        <w:rPr>
          <w:rFonts w:hint="eastAsia"/>
          <w:lang w:eastAsia="ja-JP"/>
        </w:rPr>
      </w:pPr>
      <w:r>
        <w:rPr>
          <w:b/>
          <w:color w:val="1B365D"/>
          <w:sz w:val="19"/>
          <w:lang w:eastAsia="ja-JP"/>
        </w:rPr>
        <w:t>■ ② 原因分析（なぜそうなったか）：</w:t>
      </w:r>
      <w:r>
        <w:rPr>
          <w:sz w:val="19"/>
          <w:lang w:eastAsia="ja-JP"/>
        </w:rPr>
        <w:t>「売上構成比50%を占める商品Aの売上原価率が上昇したこと、および値引率の高いセール販売の割合が増加したことが主因である。」</w:t>
      </w:r>
    </w:p>
    <w:p w14:paraId="22CC5562" w14:textId="77777777" w:rsidR="00674E15" w:rsidRDefault="00000000">
      <w:pPr>
        <w:spacing w:before="60" w:after="60"/>
        <w:ind w:left="288"/>
        <w:rPr>
          <w:rFonts w:hint="eastAsia"/>
          <w:lang w:eastAsia="ja-JP"/>
        </w:rPr>
      </w:pPr>
      <w:r>
        <w:rPr>
          <w:b/>
          <w:color w:val="1B365D"/>
          <w:sz w:val="19"/>
          <w:lang w:eastAsia="ja-JP"/>
        </w:rPr>
        <w:t>■ ③ 改善提案・対策（今後どうすべきか）：</w:t>
      </w:r>
      <w:r>
        <w:rPr>
          <w:sz w:val="19"/>
          <w:lang w:eastAsia="ja-JP"/>
        </w:rPr>
        <w:t>「今後は高粗利益率である商品Bの販売促進を強化するとともに、商品Aの仕入原価見直しを行い、損益分岐点売上高を下げ採算性を改善すべきである。」</w:t>
      </w:r>
    </w:p>
    <w:p w14:paraId="13F44D72" w14:textId="77777777" w:rsidR="00674E15" w:rsidRDefault="00000000">
      <w:pPr>
        <w:keepNext/>
        <w:pBdr>
          <w:bottom w:val="single" w:sz="14" w:space="4" w:color="1B365D"/>
        </w:pBdr>
        <w:spacing w:before="360" w:after="160"/>
        <w:rPr>
          <w:rFonts w:hint="eastAsia"/>
          <w:lang w:eastAsia="ja-JP"/>
        </w:rPr>
      </w:pPr>
      <w:r>
        <w:rPr>
          <w:b/>
          <w:color w:val="1B365D"/>
          <w:sz w:val="30"/>
          <w:lang w:eastAsia="ja-JP"/>
        </w:rPr>
        <w:t>第5章 検定特有の注意点（実技・システム・保存規則）</w:t>
      </w:r>
    </w:p>
    <w:p w14:paraId="1E4BD4C6" w14:textId="77777777" w:rsidR="00674E15" w:rsidRDefault="00000000">
      <w:pPr>
        <w:keepNext/>
        <w:spacing w:before="280" w:after="120"/>
        <w:rPr>
          <w:rFonts w:hint="eastAsia"/>
          <w:lang w:eastAsia="ja-JP"/>
        </w:rPr>
      </w:pPr>
      <w:r>
        <w:rPr>
          <w:b/>
          <w:color w:val="2E5B88"/>
          <w:sz w:val="24"/>
          <w:lang w:eastAsia="ja-JP"/>
        </w:rPr>
        <w:t>1. ファイル保存・命名規則の遵守</w:t>
      </w:r>
    </w:p>
    <w:p w14:paraId="5E2E78E9" w14:textId="77777777" w:rsidR="00674E15" w:rsidRDefault="00000000">
      <w:pPr>
        <w:spacing w:before="60" w:after="60"/>
        <w:ind w:left="288"/>
        <w:rPr>
          <w:rFonts w:hint="eastAsia"/>
          <w:lang w:eastAsia="ja-JP"/>
        </w:rPr>
      </w:pPr>
      <w:r>
        <w:rPr>
          <w:b/>
          <w:color w:val="1B365D"/>
          <w:sz w:val="19"/>
          <w:lang w:eastAsia="ja-JP"/>
        </w:rPr>
        <w:t>■ 指定ファイル名・指定フォルダの絶対厳守：</w:t>
      </w:r>
      <w:r>
        <w:rPr>
          <w:sz w:val="19"/>
          <w:lang w:eastAsia="ja-JP"/>
        </w:rPr>
        <w:t>指示書に指定されたファイル名（例：業務報告書_20260912_山崎.xlsx）を寸分違わず入力し、指定フォルダへ保存（不備は0点や大幅減点のリスク）。</w:t>
      </w:r>
    </w:p>
    <w:p w14:paraId="37E15956" w14:textId="77777777" w:rsidR="00674E15" w:rsidRDefault="00000000">
      <w:pPr>
        <w:spacing w:before="60" w:after="60"/>
        <w:ind w:left="288"/>
        <w:rPr>
          <w:rFonts w:hint="eastAsia"/>
          <w:lang w:eastAsia="ja-JP"/>
        </w:rPr>
      </w:pPr>
      <w:r>
        <w:rPr>
          <w:b/>
          <w:color w:val="1B365D"/>
          <w:sz w:val="19"/>
          <w:lang w:eastAsia="ja-JP"/>
        </w:rPr>
        <w:t>■ こまめな上書き保存（Ctrl + S）：</w:t>
      </w:r>
      <w:r>
        <w:rPr>
          <w:sz w:val="19"/>
          <w:lang w:eastAsia="ja-JP"/>
        </w:rPr>
        <w:t>試験中の万一のシステムトラブルに備え、大きな操作の区切りごとに必ずショートカットキー Ctrl + S を押す習慣をつける。</w:t>
      </w:r>
    </w:p>
    <w:p w14:paraId="5B2D1826" w14:textId="77777777" w:rsidR="00674E15" w:rsidRDefault="00000000">
      <w:pPr>
        <w:keepNext/>
        <w:spacing w:before="280" w:after="120"/>
        <w:rPr>
          <w:rFonts w:hint="eastAsia"/>
          <w:lang w:eastAsia="ja-JP"/>
        </w:rPr>
      </w:pPr>
      <w:r>
        <w:rPr>
          <w:b/>
          <w:color w:val="2E5B88"/>
          <w:sz w:val="24"/>
          <w:lang w:eastAsia="ja-JP"/>
        </w:rPr>
        <w:t>2. 2級でよくある失点パターンと対策</w:t>
      </w:r>
    </w:p>
    <w:p w14:paraId="6C0456D3" w14:textId="77777777" w:rsidR="00674E15" w:rsidRDefault="00000000">
      <w:pPr>
        <w:spacing w:before="60" w:after="60"/>
        <w:ind w:left="288"/>
        <w:rPr>
          <w:rFonts w:hint="eastAsia"/>
          <w:lang w:eastAsia="ja-JP"/>
        </w:rPr>
      </w:pPr>
      <w:r>
        <w:rPr>
          <w:b/>
          <w:color w:val="1B365D"/>
          <w:sz w:val="19"/>
          <w:lang w:eastAsia="ja-JP"/>
        </w:rPr>
        <w:t>■ エラー表示（#N/A, #DIV/0!）の放置：</w:t>
      </w:r>
      <w:r>
        <w:rPr>
          <w:sz w:val="19"/>
          <w:lang w:eastAsia="ja-JP"/>
        </w:rPr>
        <w:t>VLOOKUPや割り算でエラーが出た場合は、必ず IFERROR 関数や IF 関数の条件分岐でエラーを回避・代替表示させる。</w:t>
      </w:r>
    </w:p>
    <w:p w14:paraId="7D83C181" w14:textId="77777777" w:rsidR="00674E15" w:rsidRDefault="00000000">
      <w:pPr>
        <w:spacing w:before="60" w:after="60"/>
        <w:ind w:left="288"/>
        <w:rPr>
          <w:rFonts w:hint="eastAsia"/>
          <w:lang w:eastAsia="ja-JP"/>
        </w:rPr>
      </w:pPr>
      <w:r>
        <w:rPr>
          <w:b/>
          <w:color w:val="1B365D"/>
          <w:sz w:val="19"/>
          <w:lang w:eastAsia="ja-JP"/>
        </w:rPr>
        <w:t>■ 数式での絶対参照（$）のつけ忘れ：</w:t>
      </w:r>
      <w:r>
        <w:rPr>
          <w:sz w:val="19"/>
          <w:lang w:eastAsia="ja-JP"/>
        </w:rPr>
        <w:t>構成比やマスタ参照の数式をオートフィルした際、参照位置がずれて誤った数値になるのを防ぐ。</w:t>
      </w:r>
    </w:p>
    <w:p w14:paraId="42A35E96" w14:textId="77777777" w:rsidR="00674E15" w:rsidRDefault="00000000">
      <w:pPr>
        <w:spacing w:before="60" w:after="60"/>
        <w:ind w:left="288"/>
        <w:rPr>
          <w:rFonts w:hint="eastAsia"/>
          <w:lang w:eastAsia="ja-JP"/>
        </w:rPr>
      </w:pPr>
      <w:r>
        <w:rPr>
          <w:b/>
          <w:color w:val="1B365D"/>
          <w:sz w:val="19"/>
          <w:lang w:eastAsia="ja-JP"/>
        </w:rPr>
        <w:t>■ 条件付き書式の数式ミス：</w:t>
      </w:r>
      <w:r>
        <w:rPr>
          <w:sz w:val="19"/>
          <w:lang w:eastAsia="ja-JP"/>
        </w:rPr>
        <w:t>数式を用いて行全体の色を変更する際、列固定（例：=$F5&lt;0.15）の複合参照を正しく設定する。</w:t>
      </w:r>
    </w:p>
    <w:p w14:paraId="1070698D" w14:textId="77777777" w:rsidR="00674E15" w:rsidRDefault="00000000">
      <w:pPr>
        <w:spacing w:before="60" w:after="60"/>
        <w:ind w:left="288"/>
        <w:rPr>
          <w:rFonts w:hint="eastAsia"/>
          <w:lang w:eastAsia="ja-JP"/>
        </w:rPr>
      </w:pPr>
      <w:r>
        <w:rPr>
          <w:b/>
          <w:color w:val="1B365D"/>
          <w:sz w:val="19"/>
          <w:lang w:eastAsia="ja-JP"/>
        </w:rPr>
        <w:t>■ 印刷設定・レイアウト崩れ：</w:t>
      </w:r>
      <w:r>
        <w:rPr>
          <w:sz w:val="19"/>
          <w:lang w:eastAsia="ja-JP"/>
        </w:rPr>
        <w:t>指示に従い、印刷指定の範囲（Print Area）設定や「1ページに収めて印刷」のページ設定を確実に行う。</w:t>
      </w:r>
    </w:p>
    <w:p w14:paraId="496DBA81" w14:textId="77777777" w:rsidR="007D45A0" w:rsidRDefault="007D45A0">
      <w:pPr>
        <w:rPr>
          <w:b/>
          <w:color w:val="1B365D"/>
          <w:sz w:val="30"/>
          <w:lang w:eastAsia="ja-JP"/>
        </w:rPr>
      </w:pPr>
      <w:r>
        <w:rPr>
          <w:b/>
          <w:color w:val="1B365D"/>
          <w:sz w:val="30"/>
          <w:lang w:eastAsia="ja-JP"/>
        </w:rPr>
        <w:br w:type="page"/>
      </w:r>
    </w:p>
    <w:p w14:paraId="438DFD85" w14:textId="0858958B" w:rsidR="00674E15" w:rsidRDefault="00000000">
      <w:pPr>
        <w:keepNext/>
        <w:pBdr>
          <w:bottom w:val="single" w:sz="14" w:space="4" w:color="1B365D"/>
        </w:pBdr>
        <w:spacing w:before="360" w:after="160"/>
        <w:rPr>
          <w:rFonts w:hint="eastAsia"/>
          <w:lang w:eastAsia="ja-JP"/>
        </w:rPr>
      </w:pPr>
      <w:r>
        <w:rPr>
          <w:b/>
          <w:color w:val="1B365D"/>
          <w:sz w:val="30"/>
          <w:lang w:eastAsia="ja-JP"/>
        </w:rPr>
        <w:t>第6章 受験者用 自己点検・最終スキルチェックリスト</w:t>
      </w:r>
    </w:p>
    <w:p w14:paraId="3943B31B" w14:textId="77777777" w:rsidR="00674E15" w:rsidRDefault="00000000">
      <w:pPr>
        <w:spacing w:after="160"/>
        <w:rPr>
          <w:rFonts w:hint="eastAsia"/>
          <w:lang w:eastAsia="ja-JP"/>
        </w:rPr>
      </w:pPr>
      <w:r>
        <w:rPr>
          <w:lang w:eastAsia="ja-JP"/>
        </w:rPr>
        <w:t>試験直前の最終確認として、以下の全項目が確実に実行できるかをセルフチェックしてください。</w:t>
      </w:r>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864"/>
        <w:gridCol w:w="3168"/>
        <w:gridCol w:w="5616"/>
      </w:tblGrid>
      <w:tr w:rsidR="00674E15" w14:paraId="4237C7E5" w14:textId="77777777">
        <w:trPr>
          <w:jc w:val="center"/>
        </w:trPr>
        <w:tc>
          <w:tcPr>
            <w:tcW w:w="864" w:type="dxa"/>
            <w:shd w:val="clear" w:color="auto" w:fill="1B365D"/>
            <w:tcMar>
              <w:top w:w="100" w:type="dxa"/>
              <w:left w:w="120" w:type="dxa"/>
              <w:bottom w:w="100" w:type="dxa"/>
              <w:right w:w="120" w:type="dxa"/>
            </w:tcMar>
          </w:tcPr>
          <w:p w14:paraId="753AD9D6" w14:textId="77777777" w:rsidR="00674E15" w:rsidRDefault="00000000">
            <w:pPr>
              <w:rPr>
                <w:rFonts w:hint="eastAsia"/>
              </w:rPr>
            </w:pPr>
            <w:r>
              <w:rPr>
                <w:b/>
                <w:color w:val="FFFFFF"/>
                <w:sz w:val="19"/>
              </w:rPr>
              <w:t>状態</w:t>
            </w:r>
          </w:p>
        </w:tc>
        <w:tc>
          <w:tcPr>
            <w:tcW w:w="3168" w:type="dxa"/>
            <w:shd w:val="clear" w:color="auto" w:fill="1B365D"/>
            <w:tcMar>
              <w:top w:w="100" w:type="dxa"/>
              <w:left w:w="120" w:type="dxa"/>
              <w:bottom w:w="100" w:type="dxa"/>
              <w:right w:w="120" w:type="dxa"/>
            </w:tcMar>
          </w:tcPr>
          <w:p w14:paraId="6DC3EE6F" w14:textId="77777777" w:rsidR="00674E15" w:rsidRDefault="00000000">
            <w:pPr>
              <w:rPr>
                <w:rFonts w:hint="eastAsia"/>
              </w:rPr>
            </w:pPr>
            <w:r>
              <w:rPr>
                <w:b/>
                <w:color w:val="FFFFFF"/>
                <w:sz w:val="19"/>
              </w:rPr>
              <w:t>チェック項目</w:t>
            </w:r>
          </w:p>
        </w:tc>
        <w:tc>
          <w:tcPr>
            <w:tcW w:w="5616" w:type="dxa"/>
            <w:shd w:val="clear" w:color="auto" w:fill="1B365D"/>
            <w:tcMar>
              <w:top w:w="100" w:type="dxa"/>
              <w:left w:w="120" w:type="dxa"/>
              <w:bottom w:w="100" w:type="dxa"/>
              <w:right w:w="120" w:type="dxa"/>
            </w:tcMar>
          </w:tcPr>
          <w:p w14:paraId="109F16BB" w14:textId="77777777" w:rsidR="00674E15" w:rsidRDefault="00000000">
            <w:pPr>
              <w:rPr>
                <w:rFonts w:hint="eastAsia"/>
                <w:lang w:eastAsia="ja-JP"/>
              </w:rPr>
            </w:pPr>
            <w:r>
              <w:rPr>
                <w:b/>
                <w:color w:val="FFFFFF"/>
                <w:sz w:val="19"/>
                <w:lang w:eastAsia="ja-JP"/>
              </w:rPr>
              <w:t>具体的な操作・判定水準</w:t>
            </w:r>
          </w:p>
        </w:tc>
      </w:tr>
      <w:tr w:rsidR="00674E15" w14:paraId="46783F78" w14:textId="77777777">
        <w:trPr>
          <w:jc w:val="center"/>
        </w:trPr>
        <w:tc>
          <w:tcPr>
            <w:tcW w:w="864" w:type="dxa"/>
            <w:shd w:val="clear" w:color="auto" w:fill="F9FAFC"/>
            <w:tcMar>
              <w:top w:w="100" w:type="dxa"/>
              <w:left w:w="120" w:type="dxa"/>
              <w:bottom w:w="100" w:type="dxa"/>
              <w:right w:w="120" w:type="dxa"/>
            </w:tcMar>
          </w:tcPr>
          <w:p w14:paraId="70FC6C5D" w14:textId="77777777" w:rsidR="00674E15" w:rsidRDefault="00000000">
            <w:pPr>
              <w:jc w:val="center"/>
              <w:rPr>
                <w:rFonts w:hint="eastAsia"/>
              </w:rPr>
            </w:pPr>
            <w:r>
              <w:rPr>
                <w:sz w:val="18"/>
              </w:rPr>
              <w:t>[  ]</w:t>
            </w:r>
          </w:p>
        </w:tc>
        <w:tc>
          <w:tcPr>
            <w:tcW w:w="3168" w:type="dxa"/>
            <w:shd w:val="clear" w:color="auto" w:fill="F9FAFC"/>
            <w:tcMar>
              <w:top w:w="100" w:type="dxa"/>
              <w:left w:w="120" w:type="dxa"/>
              <w:bottom w:w="100" w:type="dxa"/>
              <w:right w:w="120" w:type="dxa"/>
            </w:tcMar>
          </w:tcPr>
          <w:p w14:paraId="1ED61343" w14:textId="77777777" w:rsidR="00674E15" w:rsidRDefault="00000000">
            <w:pPr>
              <w:rPr>
                <w:rFonts w:hint="eastAsia"/>
              </w:rPr>
            </w:pPr>
            <w:r>
              <w:rPr>
                <w:sz w:val="18"/>
              </w:rPr>
              <w:t>VLOOKUP &amp; IFERROR名寄せ</w:t>
            </w:r>
          </w:p>
        </w:tc>
        <w:tc>
          <w:tcPr>
            <w:tcW w:w="5616" w:type="dxa"/>
            <w:shd w:val="clear" w:color="auto" w:fill="F9FAFC"/>
            <w:tcMar>
              <w:top w:w="100" w:type="dxa"/>
              <w:left w:w="120" w:type="dxa"/>
              <w:bottom w:w="100" w:type="dxa"/>
              <w:right w:w="120" w:type="dxa"/>
            </w:tcMar>
          </w:tcPr>
          <w:p w14:paraId="15ADC556" w14:textId="77777777" w:rsidR="00674E15" w:rsidRDefault="00000000">
            <w:pPr>
              <w:rPr>
                <w:rFonts w:hint="eastAsia"/>
                <w:lang w:eastAsia="ja-JP"/>
              </w:rPr>
            </w:pPr>
            <w:r>
              <w:rPr>
                <w:sz w:val="18"/>
                <w:lang w:eastAsia="ja-JP"/>
              </w:rPr>
              <w:t>複数シートからキーをもとにVLOOKUPで統合し、エラー値をIFERRORで制御できる。</w:t>
            </w:r>
          </w:p>
        </w:tc>
      </w:tr>
      <w:tr w:rsidR="00674E15" w14:paraId="489273E3" w14:textId="77777777">
        <w:trPr>
          <w:jc w:val="center"/>
        </w:trPr>
        <w:tc>
          <w:tcPr>
            <w:tcW w:w="864" w:type="dxa"/>
            <w:tcMar>
              <w:top w:w="100" w:type="dxa"/>
              <w:left w:w="120" w:type="dxa"/>
              <w:bottom w:w="100" w:type="dxa"/>
              <w:right w:w="120" w:type="dxa"/>
            </w:tcMar>
          </w:tcPr>
          <w:p w14:paraId="0E27C686" w14:textId="77777777" w:rsidR="00674E15" w:rsidRDefault="00000000">
            <w:pPr>
              <w:jc w:val="center"/>
              <w:rPr>
                <w:rFonts w:hint="eastAsia"/>
              </w:rPr>
            </w:pPr>
            <w:r>
              <w:rPr>
                <w:sz w:val="18"/>
              </w:rPr>
              <w:t>[  ]</w:t>
            </w:r>
          </w:p>
        </w:tc>
        <w:tc>
          <w:tcPr>
            <w:tcW w:w="3168" w:type="dxa"/>
            <w:tcMar>
              <w:top w:w="100" w:type="dxa"/>
              <w:left w:w="120" w:type="dxa"/>
              <w:bottom w:w="100" w:type="dxa"/>
              <w:right w:w="120" w:type="dxa"/>
            </w:tcMar>
          </w:tcPr>
          <w:p w14:paraId="26F7B3AF" w14:textId="77777777" w:rsidR="00674E15" w:rsidRDefault="00000000">
            <w:pPr>
              <w:rPr>
                <w:rFonts w:hint="eastAsia"/>
              </w:rPr>
            </w:pPr>
            <w:r>
              <w:rPr>
                <w:sz w:val="18"/>
              </w:rPr>
              <w:t>複数条件集計関数</w:t>
            </w:r>
          </w:p>
        </w:tc>
        <w:tc>
          <w:tcPr>
            <w:tcW w:w="5616" w:type="dxa"/>
            <w:tcMar>
              <w:top w:w="100" w:type="dxa"/>
              <w:left w:w="120" w:type="dxa"/>
              <w:bottom w:w="100" w:type="dxa"/>
              <w:right w:w="120" w:type="dxa"/>
            </w:tcMar>
          </w:tcPr>
          <w:p w14:paraId="07B51279" w14:textId="77777777" w:rsidR="00674E15" w:rsidRDefault="00000000">
            <w:pPr>
              <w:rPr>
                <w:rFonts w:hint="eastAsia"/>
              </w:rPr>
            </w:pPr>
            <w:r>
              <w:rPr>
                <w:sz w:val="18"/>
              </w:rPr>
              <w:t>SUMIFS / COUNTIFS / AVERAGEIFS で複雑な多重条件の集計ができる。</w:t>
            </w:r>
          </w:p>
        </w:tc>
      </w:tr>
      <w:tr w:rsidR="00674E15" w14:paraId="631F8D0E" w14:textId="77777777">
        <w:trPr>
          <w:jc w:val="center"/>
        </w:trPr>
        <w:tc>
          <w:tcPr>
            <w:tcW w:w="864" w:type="dxa"/>
            <w:shd w:val="clear" w:color="auto" w:fill="F9FAFC"/>
            <w:tcMar>
              <w:top w:w="100" w:type="dxa"/>
              <w:left w:w="120" w:type="dxa"/>
              <w:bottom w:w="100" w:type="dxa"/>
              <w:right w:w="120" w:type="dxa"/>
            </w:tcMar>
          </w:tcPr>
          <w:p w14:paraId="3574B3B1" w14:textId="77777777" w:rsidR="00674E15" w:rsidRDefault="00000000">
            <w:pPr>
              <w:jc w:val="center"/>
              <w:rPr>
                <w:rFonts w:hint="eastAsia"/>
              </w:rPr>
            </w:pPr>
            <w:r>
              <w:rPr>
                <w:sz w:val="18"/>
              </w:rPr>
              <w:t>[  ]</w:t>
            </w:r>
          </w:p>
        </w:tc>
        <w:tc>
          <w:tcPr>
            <w:tcW w:w="3168" w:type="dxa"/>
            <w:shd w:val="clear" w:color="auto" w:fill="F9FAFC"/>
            <w:tcMar>
              <w:top w:w="100" w:type="dxa"/>
              <w:left w:w="120" w:type="dxa"/>
              <w:bottom w:w="100" w:type="dxa"/>
              <w:right w:w="120" w:type="dxa"/>
            </w:tcMar>
          </w:tcPr>
          <w:p w14:paraId="591E5A2D" w14:textId="77777777" w:rsidR="00674E15" w:rsidRDefault="00000000">
            <w:pPr>
              <w:rPr>
                <w:rFonts w:hint="eastAsia"/>
                <w:lang w:eastAsia="ja-JP"/>
              </w:rPr>
            </w:pPr>
            <w:r>
              <w:rPr>
                <w:sz w:val="18"/>
                <w:lang w:eastAsia="ja-JP"/>
              </w:rPr>
              <w:t>日付・文字列・順位関数</w:t>
            </w:r>
          </w:p>
        </w:tc>
        <w:tc>
          <w:tcPr>
            <w:tcW w:w="5616" w:type="dxa"/>
            <w:shd w:val="clear" w:color="auto" w:fill="F9FAFC"/>
            <w:tcMar>
              <w:top w:w="100" w:type="dxa"/>
              <w:left w:w="120" w:type="dxa"/>
              <w:bottom w:w="100" w:type="dxa"/>
              <w:right w:w="120" w:type="dxa"/>
            </w:tcMar>
          </w:tcPr>
          <w:p w14:paraId="7C76581F" w14:textId="77777777" w:rsidR="00674E15" w:rsidRDefault="00000000">
            <w:pPr>
              <w:rPr>
                <w:rFonts w:hint="eastAsia"/>
              </w:rPr>
            </w:pPr>
            <w:r>
              <w:rPr>
                <w:sz w:val="18"/>
              </w:rPr>
              <w:t>DATEDIF、LEFT/MID/RIGHT、RANK.EQ、ROUND系を条件に応じて正しく組み合わせられる。</w:t>
            </w:r>
          </w:p>
        </w:tc>
      </w:tr>
      <w:tr w:rsidR="00674E15" w14:paraId="2C46801E" w14:textId="77777777">
        <w:trPr>
          <w:jc w:val="center"/>
        </w:trPr>
        <w:tc>
          <w:tcPr>
            <w:tcW w:w="864" w:type="dxa"/>
            <w:tcMar>
              <w:top w:w="100" w:type="dxa"/>
              <w:left w:w="120" w:type="dxa"/>
              <w:bottom w:w="100" w:type="dxa"/>
              <w:right w:w="120" w:type="dxa"/>
            </w:tcMar>
          </w:tcPr>
          <w:p w14:paraId="4C732C39" w14:textId="77777777" w:rsidR="00674E15" w:rsidRDefault="00000000">
            <w:pPr>
              <w:jc w:val="center"/>
              <w:rPr>
                <w:rFonts w:hint="eastAsia"/>
              </w:rPr>
            </w:pPr>
            <w:r>
              <w:rPr>
                <w:sz w:val="18"/>
              </w:rPr>
              <w:t>[  ]</w:t>
            </w:r>
          </w:p>
        </w:tc>
        <w:tc>
          <w:tcPr>
            <w:tcW w:w="3168" w:type="dxa"/>
            <w:tcMar>
              <w:top w:w="100" w:type="dxa"/>
              <w:left w:w="120" w:type="dxa"/>
              <w:bottom w:w="100" w:type="dxa"/>
              <w:right w:w="120" w:type="dxa"/>
            </w:tcMar>
          </w:tcPr>
          <w:p w14:paraId="79747440" w14:textId="77777777" w:rsidR="00674E15" w:rsidRDefault="00000000">
            <w:pPr>
              <w:rPr>
                <w:rFonts w:hint="eastAsia"/>
                <w:lang w:eastAsia="ja-JP"/>
              </w:rPr>
            </w:pPr>
            <w:r>
              <w:rPr>
                <w:sz w:val="18"/>
                <w:lang w:eastAsia="ja-JP"/>
              </w:rPr>
              <w:t>ピボットテーブル応用</w:t>
            </w:r>
          </w:p>
        </w:tc>
        <w:tc>
          <w:tcPr>
            <w:tcW w:w="5616" w:type="dxa"/>
            <w:tcMar>
              <w:top w:w="100" w:type="dxa"/>
              <w:left w:w="120" w:type="dxa"/>
              <w:bottom w:w="100" w:type="dxa"/>
              <w:right w:w="120" w:type="dxa"/>
            </w:tcMar>
          </w:tcPr>
          <w:p w14:paraId="039CAA86" w14:textId="77777777" w:rsidR="00674E15" w:rsidRDefault="00000000">
            <w:pPr>
              <w:rPr>
                <w:rFonts w:hint="eastAsia"/>
                <w:lang w:eastAsia="ja-JP"/>
              </w:rPr>
            </w:pPr>
            <w:r>
              <w:rPr>
                <w:sz w:val="18"/>
                <w:lang w:eastAsia="ja-JP"/>
              </w:rPr>
              <w:t>ピボットテーブルの新規作成、フィールド配置、グループ化、集計方法変更（%表示）ができる。</w:t>
            </w:r>
          </w:p>
        </w:tc>
      </w:tr>
      <w:tr w:rsidR="00674E15" w14:paraId="485075E9" w14:textId="77777777">
        <w:trPr>
          <w:jc w:val="center"/>
        </w:trPr>
        <w:tc>
          <w:tcPr>
            <w:tcW w:w="864" w:type="dxa"/>
            <w:shd w:val="clear" w:color="auto" w:fill="F9FAFC"/>
            <w:tcMar>
              <w:top w:w="100" w:type="dxa"/>
              <w:left w:w="120" w:type="dxa"/>
              <w:bottom w:w="100" w:type="dxa"/>
              <w:right w:w="120" w:type="dxa"/>
            </w:tcMar>
          </w:tcPr>
          <w:p w14:paraId="27ADC389" w14:textId="77777777" w:rsidR="00674E15" w:rsidRDefault="00000000">
            <w:pPr>
              <w:jc w:val="center"/>
              <w:rPr>
                <w:rFonts w:hint="eastAsia"/>
              </w:rPr>
            </w:pPr>
            <w:r>
              <w:rPr>
                <w:sz w:val="18"/>
              </w:rPr>
              <w:t>[  ]</w:t>
            </w:r>
          </w:p>
        </w:tc>
        <w:tc>
          <w:tcPr>
            <w:tcW w:w="3168" w:type="dxa"/>
            <w:shd w:val="clear" w:color="auto" w:fill="F9FAFC"/>
            <w:tcMar>
              <w:top w:w="100" w:type="dxa"/>
              <w:left w:w="120" w:type="dxa"/>
              <w:bottom w:w="100" w:type="dxa"/>
              <w:right w:w="120" w:type="dxa"/>
            </w:tcMar>
          </w:tcPr>
          <w:p w14:paraId="503320EE" w14:textId="77777777" w:rsidR="00674E15" w:rsidRDefault="00000000">
            <w:pPr>
              <w:rPr>
                <w:rFonts w:hint="eastAsia"/>
                <w:lang w:eastAsia="ja-JP"/>
              </w:rPr>
            </w:pPr>
            <w:r>
              <w:rPr>
                <w:sz w:val="18"/>
                <w:lang w:eastAsia="ja-JP"/>
              </w:rPr>
              <w:t>管理会計：粗利益・経費計算</w:t>
            </w:r>
          </w:p>
        </w:tc>
        <w:tc>
          <w:tcPr>
            <w:tcW w:w="5616" w:type="dxa"/>
            <w:shd w:val="clear" w:color="auto" w:fill="F9FAFC"/>
            <w:tcMar>
              <w:top w:w="100" w:type="dxa"/>
              <w:left w:w="120" w:type="dxa"/>
              <w:bottom w:w="100" w:type="dxa"/>
              <w:right w:w="120" w:type="dxa"/>
            </w:tcMar>
          </w:tcPr>
          <w:p w14:paraId="54833336" w14:textId="77777777" w:rsidR="00674E15" w:rsidRDefault="00000000">
            <w:pPr>
              <w:rPr>
                <w:rFonts w:hint="eastAsia"/>
                <w:lang w:eastAsia="ja-JP"/>
              </w:rPr>
            </w:pPr>
            <w:r>
              <w:rPr>
                <w:sz w:val="18"/>
                <w:lang w:eastAsia="ja-JP"/>
              </w:rPr>
              <w:t>粗利益、粗利益率、売上原価率、販売管理費率を理解し、Excel数式で算出できる。</w:t>
            </w:r>
          </w:p>
        </w:tc>
      </w:tr>
      <w:tr w:rsidR="00674E15" w14:paraId="6A411EAB" w14:textId="77777777">
        <w:trPr>
          <w:jc w:val="center"/>
        </w:trPr>
        <w:tc>
          <w:tcPr>
            <w:tcW w:w="864" w:type="dxa"/>
            <w:tcMar>
              <w:top w:w="100" w:type="dxa"/>
              <w:left w:w="120" w:type="dxa"/>
              <w:bottom w:w="100" w:type="dxa"/>
              <w:right w:w="120" w:type="dxa"/>
            </w:tcMar>
          </w:tcPr>
          <w:p w14:paraId="51C83692" w14:textId="77777777" w:rsidR="00674E15" w:rsidRDefault="00000000">
            <w:pPr>
              <w:jc w:val="center"/>
              <w:rPr>
                <w:rFonts w:hint="eastAsia"/>
              </w:rPr>
            </w:pPr>
            <w:r>
              <w:rPr>
                <w:sz w:val="18"/>
              </w:rPr>
              <w:t>[  ]</w:t>
            </w:r>
          </w:p>
        </w:tc>
        <w:tc>
          <w:tcPr>
            <w:tcW w:w="3168" w:type="dxa"/>
            <w:tcMar>
              <w:top w:w="100" w:type="dxa"/>
              <w:left w:w="120" w:type="dxa"/>
              <w:bottom w:w="100" w:type="dxa"/>
              <w:right w:w="120" w:type="dxa"/>
            </w:tcMar>
          </w:tcPr>
          <w:p w14:paraId="08E27175" w14:textId="77777777" w:rsidR="00674E15" w:rsidRDefault="00000000">
            <w:pPr>
              <w:rPr>
                <w:rFonts w:hint="eastAsia"/>
              </w:rPr>
            </w:pPr>
            <w:r>
              <w:rPr>
                <w:sz w:val="18"/>
              </w:rPr>
              <w:t>管理会計：損益分岐点分析</w:t>
            </w:r>
          </w:p>
        </w:tc>
        <w:tc>
          <w:tcPr>
            <w:tcW w:w="5616" w:type="dxa"/>
            <w:tcMar>
              <w:top w:w="100" w:type="dxa"/>
              <w:left w:w="120" w:type="dxa"/>
              <w:bottom w:w="100" w:type="dxa"/>
              <w:right w:w="120" w:type="dxa"/>
            </w:tcMar>
          </w:tcPr>
          <w:p w14:paraId="722756FD" w14:textId="77777777" w:rsidR="00674E15" w:rsidRDefault="00000000">
            <w:pPr>
              <w:rPr>
                <w:rFonts w:hint="eastAsia"/>
                <w:lang w:eastAsia="ja-JP"/>
              </w:rPr>
            </w:pPr>
            <w:r>
              <w:rPr>
                <w:sz w:val="18"/>
                <w:lang w:eastAsia="ja-JP"/>
              </w:rPr>
              <w:t>変動費・固定費の概念を理解し、限界利益率および損益分岐点売上高を正しく算出できる。</w:t>
            </w:r>
          </w:p>
        </w:tc>
      </w:tr>
      <w:tr w:rsidR="00674E15" w14:paraId="20EC0916" w14:textId="77777777">
        <w:trPr>
          <w:jc w:val="center"/>
        </w:trPr>
        <w:tc>
          <w:tcPr>
            <w:tcW w:w="864" w:type="dxa"/>
            <w:shd w:val="clear" w:color="auto" w:fill="F9FAFC"/>
            <w:tcMar>
              <w:top w:w="100" w:type="dxa"/>
              <w:left w:w="120" w:type="dxa"/>
              <w:bottom w:w="100" w:type="dxa"/>
              <w:right w:w="120" w:type="dxa"/>
            </w:tcMar>
          </w:tcPr>
          <w:p w14:paraId="5F428293" w14:textId="77777777" w:rsidR="00674E15" w:rsidRDefault="00000000">
            <w:pPr>
              <w:jc w:val="center"/>
              <w:rPr>
                <w:rFonts w:hint="eastAsia"/>
              </w:rPr>
            </w:pPr>
            <w:r>
              <w:rPr>
                <w:sz w:val="18"/>
              </w:rPr>
              <w:t>[  ]</w:t>
            </w:r>
          </w:p>
        </w:tc>
        <w:tc>
          <w:tcPr>
            <w:tcW w:w="3168" w:type="dxa"/>
            <w:shd w:val="clear" w:color="auto" w:fill="F9FAFC"/>
            <w:tcMar>
              <w:top w:w="100" w:type="dxa"/>
              <w:left w:w="120" w:type="dxa"/>
              <w:bottom w:w="100" w:type="dxa"/>
              <w:right w:w="120" w:type="dxa"/>
            </w:tcMar>
          </w:tcPr>
          <w:p w14:paraId="1598364B" w14:textId="77777777" w:rsidR="00674E15" w:rsidRDefault="00000000">
            <w:pPr>
              <w:rPr>
                <w:rFonts w:hint="eastAsia"/>
              </w:rPr>
            </w:pPr>
            <w:r>
              <w:rPr>
                <w:sz w:val="18"/>
              </w:rPr>
              <w:t>応用グラフ作成</w:t>
            </w:r>
          </w:p>
        </w:tc>
        <w:tc>
          <w:tcPr>
            <w:tcW w:w="5616" w:type="dxa"/>
            <w:shd w:val="clear" w:color="auto" w:fill="F9FAFC"/>
            <w:tcMar>
              <w:top w:w="100" w:type="dxa"/>
              <w:left w:w="120" w:type="dxa"/>
              <w:bottom w:w="100" w:type="dxa"/>
              <w:right w:w="120" w:type="dxa"/>
            </w:tcMar>
          </w:tcPr>
          <w:p w14:paraId="0B679C83" w14:textId="77777777" w:rsidR="00674E15" w:rsidRDefault="00000000">
            <w:pPr>
              <w:rPr>
                <w:rFonts w:hint="eastAsia"/>
                <w:lang w:eastAsia="ja-JP"/>
              </w:rPr>
            </w:pPr>
            <w:r>
              <w:rPr>
                <w:sz w:val="18"/>
                <w:lang w:eastAsia="ja-JP"/>
              </w:rPr>
              <w:t>レーダーチャート、散布図、第2軸複合グラフ、ABC分析（パレート図）を作成・調整できる。</w:t>
            </w:r>
          </w:p>
        </w:tc>
      </w:tr>
      <w:tr w:rsidR="00674E15" w14:paraId="7D49090E" w14:textId="77777777">
        <w:trPr>
          <w:jc w:val="center"/>
        </w:trPr>
        <w:tc>
          <w:tcPr>
            <w:tcW w:w="864" w:type="dxa"/>
            <w:tcMar>
              <w:top w:w="100" w:type="dxa"/>
              <w:left w:w="120" w:type="dxa"/>
              <w:bottom w:w="100" w:type="dxa"/>
              <w:right w:w="120" w:type="dxa"/>
            </w:tcMar>
          </w:tcPr>
          <w:p w14:paraId="1A254D03" w14:textId="77777777" w:rsidR="00674E15" w:rsidRDefault="00000000">
            <w:pPr>
              <w:jc w:val="center"/>
              <w:rPr>
                <w:rFonts w:hint="eastAsia"/>
              </w:rPr>
            </w:pPr>
            <w:r>
              <w:rPr>
                <w:sz w:val="18"/>
              </w:rPr>
              <w:t>[  ]</w:t>
            </w:r>
          </w:p>
        </w:tc>
        <w:tc>
          <w:tcPr>
            <w:tcW w:w="3168" w:type="dxa"/>
            <w:tcMar>
              <w:top w:w="100" w:type="dxa"/>
              <w:left w:w="120" w:type="dxa"/>
              <w:bottom w:w="100" w:type="dxa"/>
              <w:right w:w="120" w:type="dxa"/>
            </w:tcMar>
          </w:tcPr>
          <w:p w14:paraId="24083286" w14:textId="77777777" w:rsidR="00674E15" w:rsidRDefault="00000000">
            <w:pPr>
              <w:rPr>
                <w:rFonts w:hint="eastAsia"/>
                <w:lang w:eastAsia="ja-JP"/>
              </w:rPr>
            </w:pPr>
            <w:r>
              <w:rPr>
                <w:sz w:val="18"/>
                <w:lang w:eastAsia="ja-JP"/>
              </w:rPr>
              <w:t>条件付き書式・入力検証</w:t>
            </w:r>
          </w:p>
        </w:tc>
        <w:tc>
          <w:tcPr>
            <w:tcW w:w="5616" w:type="dxa"/>
            <w:tcMar>
              <w:top w:w="100" w:type="dxa"/>
              <w:left w:w="120" w:type="dxa"/>
              <w:bottom w:w="100" w:type="dxa"/>
              <w:right w:w="120" w:type="dxa"/>
            </w:tcMar>
          </w:tcPr>
          <w:p w14:paraId="69870EA0" w14:textId="77777777" w:rsidR="00674E15" w:rsidRDefault="00000000">
            <w:pPr>
              <w:rPr>
                <w:rFonts w:hint="eastAsia"/>
                <w:lang w:eastAsia="ja-JP"/>
              </w:rPr>
            </w:pPr>
            <w:r>
              <w:rPr>
                <w:sz w:val="18"/>
                <w:lang w:eastAsia="ja-JP"/>
              </w:rPr>
              <w:t>数式を用いた条件付き書式で指定行の色を変更し、入力規則（ドロップダウン）を設定できる。</w:t>
            </w:r>
          </w:p>
        </w:tc>
      </w:tr>
      <w:tr w:rsidR="00674E15" w14:paraId="4E641E3F" w14:textId="77777777">
        <w:trPr>
          <w:jc w:val="center"/>
        </w:trPr>
        <w:tc>
          <w:tcPr>
            <w:tcW w:w="864" w:type="dxa"/>
            <w:shd w:val="clear" w:color="auto" w:fill="F9FAFC"/>
            <w:tcMar>
              <w:top w:w="100" w:type="dxa"/>
              <w:left w:w="120" w:type="dxa"/>
              <w:bottom w:w="100" w:type="dxa"/>
              <w:right w:w="120" w:type="dxa"/>
            </w:tcMar>
          </w:tcPr>
          <w:p w14:paraId="75ED64BB" w14:textId="77777777" w:rsidR="00674E15" w:rsidRDefault="00000000">
            <w:pPr>
              <w:jc w:val="center"/>
              <w:rPr>
                <w:rFonts w:hint="eastAsia"/>
              </w:rPr>
            </w:pPr>
            <w:r>
              <w:rPr>
                <w:sz w:val="18"/>
              </w:rPr>
              <w:t>[  ]</w:t>
            </w:r>
          </w:p>
        </w:tc>
        <w:tc>
          <w:tcPr>
            <w:tcW w:w="3168" w:type="dxa"/>
            <w:shd w:val="clear" w:color="auto" w:fill="F9FAFC"/>
            <w:tcMar>
              <w:top w:w="100" w:type="dxa"/>
              <w:left w:w="120" w:type="dxa"/>
              <w:bottom w:w="100" w:type="dxa"/>
              <w:right w:w="120" w:type="dxa"/>
            </w:tcMar>
          </w:tcPr>
          <w:p w14:paraId="2F3E4382" w14:textId="77777777" w:rsidR="00674E15" w:rsidRDefault="00000000">
            <w:pPr>
              <w:rPr>
                <w:rFonts w:hint="eastAsia"/>
              </w:rPr>
            </w:pPr>
            <w:r>
              <w:rPr>
                <w:sz w:val="18"/>
              </w:rPr>
              <w:t>業務報告書の記述</w:t>
            </w:r>
          </w:p>
        </w:tc>
        <w:tc>
          <w:tcPr>
            <w:tcW w:w="5616" w:type="dxa"/>
            <w:shd w:val="clear" w:color="auto" w:fill="F9FAFC"/>
            <w:tcMar>
              <w:top w:w="100" w:type="dxa"/>
              <w:left w:w="120" w:type="dxa"/>
              <w:bottom w:w="100" w:type="dxa"/>
              <w:right w:w="120" w:type="dxa"/>
            </w:tcMar>
          </w:tcPr>
          <w:p w14:paraId="02B0A986" w14:textId="77777777" w:rsidR="00674E15" w:rsidRDefault="00000000">
            <w:pPr>
              <w:rPr>
                <w:rFonts w:hint="eastAsia"/>
                <w:lang w:eastAsia="ja-JP"/>
              </w:rPr>
            </w:pPr>
            <w:r>
              <w:rPr>
                <w:sz w:val="18"/>
                <w:lang w:eastAsia="ja-JP"/>
              </w:rPr>
              <w:t>分析結果に基づき、現状把握・原因分析・改善提案を含めた報告文を時間内に作成できる。</w:t>
            </w:r>
          </w:p>
        </w:tc>
      </w:tr>
      <w:tr w:rsidR="00674E15" w14:paraId="7EB4B63A" w14:textId="77777777">
        <w:trPr>
          <w:jc w:val="center"/>
        </w:trPr>
        <w:tc>
          <w:tcPr>
            <w:tcW w:w="864" w:type="dxa"/>
            <w:tcMar>
              <w:top w:w="100" w:type="dxa"/>
              <w:left w:w="120" w:type="dxa"/>
              <w:bottom w:w="100" w:type="dxa"/>
              <w:right w:w="120" w:type="dxa"/>
            </w:tcMar>
          </w:tcPr>
          <w:p w14:paraId="71E922F0" w14:textId="77777777" w:rsidR="00674E15" w:rsidRDefault="00000000">
            <w:pPr>
              <w:jc w:val="center"/>
              <w:rPr>
                <w:rFonts w:hint="eastAsia"/>
              </w:rPr>
            </w:pPr>
            <w:r>
              <w:rPr>
                <w:sz w:val="18"/>
              </w:rPr>
              <w:t>[  ]</w:t>
            </w:r>
          </w:p>
        </w:tc>
        <w:tc>
          <w:tcPr>
            <w:tcW w:w="3168" w:type="dxa"/>
            <w:tcMar>
              <w:top w:w="100" w:type="dxa"/>
              <w:left w:w="120" w:type="dxa"/>
              <w:bottom w:w="100" w:type="dxa"/>
              <w:right w:w="120" w:type="dxa"/>
            </w:tcMar>
          </w:tcPr>
          <w:p w14:paraId="17EE500B" w14:textId="77777777" w:rsidR="00674E15" w:rsidRDefault="00000000">
            <w:pPr>
              <w:rPr>
                <w:rFonts w:hint="eastAsia"/>
              </w:rPr>
            </w:pPr>
            <w:r>
              <w:rPr>
                <w:sz w:val="18"/>
              </w:rPr>
              <w:t>知識：2級専門分野</w:t>
            </w:r>
          </w:p>
        </w:tc>
        <w:tc>
          <w:tcPr>
            <w:tcW w:w="5616" w:type="dxa"/>
            <w:tcMar>
              <w:top w:w="100" w:type="dxa"/>
              <w:left w:w="120" w:type="dxa"/>
              <w:bottom w:w="100" w:type="dxa"/>
              <w:right w:w="120" w:type="dxa"/>
            </w:tcMar>
          </w:tcPr>
          <w:p w14:paraId="2C817D67" w14:textId="77777777" w:rsidR="00674E15" w:rsidRDefault="00000000">
            <w:pPr>
              <w:rPr>
                <w:rFonts w:hint="eastAsia"/>
                <w:lang w:eastAsia="ja-JP"/>
              </w:rPr>
            </w:pPr>
            <w:r>
              <w:rPr>
                <w:sz w:val="18"/>
                <w:lang w:eastAsia="ja-JP"/>
              </w:rPr>
              <w:t>電子認証（PKI/CA）、マーケティング（RFM分析等）、QC7つ道具、財務指標の知識を網羅している。</w:t>
            </w:r>
          </w:p>
        </w:tc>
      </w:tr>
      <w:tr w:rsidR="00674E15" w14:paraId="2C6844E6" w14:textId="77777777">
        <w:trPr>
          <w:jc w:val="center"/>
        </w:trPr>
        <w:tc>
          <w:tcPr>
            <w:tcW w:w="864" w:type="dxa"/>
            <w:shd w:val="clear" w:color="auto" w:fill="F9FAFC"/>
            <w:tcMar>
              <w:top w:w="100" w:type="dxa"/>
              <w:left w:w="120" w:type="dxa"/>
              <w:bottom w:w="100" w:type="dxa"/>
              <w:right w:w="120" w:type="dxa"/>
            </w:tcMar>
          </w:tcPr>
          <w:p w14:paraId="75BFB8CB" w14:textId="77777777" w:rsidR="00674E15" w:rsidRDefault="00000000">
            <w:pPr>
              <w:jc w:val="center"/>
              <w:rPr>
                <w:rFonts w:hint="eastAsia"/>
              </w:rPr>
            </w:pPr>
            <w:r>
              <w:rPr>
                <w:sz w:val="18"/>
              </w:rPr>
              <w:t>[  ]</w:t>
            </w:r>
          </w:p>
        </w:tc>
        <w:tc>
          <w:tcPr>
            <w:tcW w:w="3168" w:type="dxa"/>
            <w:shd w:val="clear" w:color="auto" w:fill="F9FAFC"/>
            <w:tcMar>
              <w:top w:w="100" w:type="dxa"/>
              <w:left w:w="120" w:type="dxa"/>
              <w:bottom w:w="100" w:type="dxa"/>
              <w:right w:w="120" w:type="dxa"/>
            </w:tcMar>
          </w:tcPr>
          <w:p w14:paraId="572128F9" w14:textId="77777777" w:rsidR="00674E15" w:rsidRDefault="00000000">
            <w:pPr>
              <w:rPr>
                <w:rFonts w:hint="eastAsia"/>
                <w:lang w:eastAsia="ja-JP"/>
              </w:rPr>
            </w:pPr>
            <w:r>
              <w:rPr>
                <w:sz w:val="18"/>
                <w:lang w:eastAsia="ja-JP"/>
              </w:rPr>
              <w:t>知識：共通・生成AI活用</w:t>
            </w:r>
          </w:p>
        </w:tc>
        <w:tc>
          <w:tcPr>
            <w:tcW w:w="5616" w:type="dxa"/>
            <w:shd w:val="clear" w:color="auto" w:fill="F9FAFC"/>
            <w:tcMar>
              <w:top w:w="100" w:type="dxa"/>
              <w:left w:w="120" w:type="dxa"/>
              <w:bottom w:w="100" w:type="dxa"/>
              <w:right w:w="120" w:type="dxa"/>
            </w:tcMar>
          </w:tcPr>
          <w:p w14:paraId="2E2DC195" w14:textId="77777777" w:rsidR="00674E15" w:rsidRDefault="00000000">
            <w:pPr>
              <w:rPr>
                <w:rFonts w:hint="eastAsia"/>
                <w:lang w:eastAsia="ja-JP"/>
              </w:rPr>
            </w:pPr>
            <w:r>
              <w:rPr>
                <w:sz w:val="18"/>
                <w:lang w:eastAsia="ja-JP"/>
              </w:rPr>
              <w:t>DX、セキュリティ知識に加え、2026年追加の生成AI利活用における留意点を説明できる。</w:t>
            </w:r>
          </w:p>
        </w:tc>
      </w:tr>
    </w:tbl>
    <w:p w14:paraId="3728083E" w14:textId="77777777" w:rsidR="00B2026C" w:rsidRDefault="00B2026C">
      <w:pPr>
        <w:rPr>
          <w:lang w:eastAsia="ja-JP"/>
        </w:rPr>
      </w:pPr>
    </w:p>
    <w:sectPr w:rsidR="00B2026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078677035">
    <w:abstractNumId w:val="8"/>
  </w:num>
  <w:num w:numId="2" w16cid:durableId="216010677">
    <w:abstractNumId w:val="6"/>
  </w:num>
  <w:num w:numId="3" w16cid:durableId="773675270">
    <w:abstractNumId w:val="5"/>
  </w:num>
  <w:num w:numId="4" w16cid:durableId="281503063">
    <w:abstractNumId w:val="4"/>
  </w:num>
  <w:num w:numId="5" w16cid:durableId="922572605">
    <w:abstractNumId w:val="7"/>
  </w:num>
  <w:num w:numId="6" w16cid:durableId="1796630774">
    <w:abstractNumId w:val="3"/>
  </w:num>
  <w:num w:numId="7" w16cid:durableId="1059088073">
    <w:abstractNumId w:val="2"/>
  </w:num>
  <w:num w:numId="8" w16cid:durableId="1032538962">
    <w:abstractNumId w:val="1"/>
  </w:num>
  <w:num w:numId="9" w16cid:durableId="949824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2036"/>
    <w:rsid w:val="0015074B"/>
    <w:rsid w:val="0029639D"/>
    <w:rsid w:val="00326F90"/>
    <w:rsid w:val="00674E15"/>
    <w:rsid w:val="007D45A0"/>
    <w:rsid w:val="00AA1D8D"/>
    <w:rsid w:val="00B2026C"/>
    <w:rsid w:val="00B34D56"/>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152C512E"/>
  <w14:defaultImageDpi w14:val="300"/>
  <w15:docId w15:val="{34C4FBAF-3045-496F-992F-75D2524EC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メイリオ" w:hAnsi="メイリオ"/>
      <w:color w:val="333333"/>
      <w:sz w:val="20"/>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686963"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8C8D86"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8C8D86"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8C8D86"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454642"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454642"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8C8D86"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686963"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8C8D86"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8C8D86" w:themeColor="accent1"/>
    </w:rPr>
  </w:style>
  <w:style w:type="paragraph" w:styleId="aa">
    <w:name w:val="Title"/>
    <w:basedOn w:val="a1"/>
    <w:next w:val="a1"/>
    <w:link w:val="ab"/>
    <w:uiPriority w:val="10"/>
    <w:qFormat/>
    <w:rsid w:val="00FC693F"/>
    <w:pPr>
      <w:pBdr>
        <w:bottom w:val="single" w:sz="8" w:space="4" w:color="8C8D86" w:themeColor="accent1"/>
      </w:pBdr>
      <w:spacing w:after="300" w:line="240" w:lineRule="auto"/>
      <w:contextualSpacing/>
    </w:pPr>
    <w:rPr>
      <w:rFonts w:asciiTheme="majorHAnsi" w:eastAsiaTheme="majorEastAsia" w:hAnsiTheme="majorHAnsi" w:cstheme="majorBidi"/>
      <w:color w:val="12140A"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2140A"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8C8D86"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8C8D86"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8C8D86"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454642"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454642"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8C8D86"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8C8D86"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8C8D86" w:themeColor="accent1"/>
      </w:pBdr>
      <w:spacing w:before="200" w:after="280"/>
      <w:ind w:left="936" w:right="936"/>
    </w:pPr>
    <w:rPr>
      <w:b/>
      <w:bCs/>
      <w:i/>
      <w:iCs/>
      <w:color w:val="8C8D86" w:themeColor="accent1"/>
    </w:rPr>
  </w:style>
  <w:style w:type="character" w:customStyle="1" w:styleId="28">
    <w:name w:val="引用文 2 (文字)"/>
    <w:basedOn w:val="a2"/>
    <w:link w:val="27"/>
    <w:uiPriority w:val="30"/>
    <w:rsid w:val="00FC693F"/>
    <w:rPr>
      <w:b/>
      <w:bCs/>
      <w:i/>
      <w:iCs/>
      <w:color w:val="8C8D86"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8C8D86" w:themeColor="accent1"/>
    </w:rPr>
  </w:style>
  <w:style w:type="character" w:styleId="afb">
    <w:name w:val="Subtle Reference"/>
    <w:basedOn w:val="a2"/>
    <w:uiPriority w:val="31"/>
    <w:qFormat/>
    <w:rsid w:val="00FC693F"/>
    <w:rPr>
      <w:smallCaps/>
      <w:color w:val="E6C069" w:themeColor="accent2"/>
      <w:u w:val="single"/>
    </w:rPr>
  </w:style>
  <w:style w:type="character" w:styleId="2a">
    <w:name w:val="Intense Reference"/>
    <w:basedOn w:val="a2"/>
    <w:uiPriority w:val="32"/>
    <w:qFormat/>
    <w:rsid w:val="00FC693F"/>
    <w:rPr>
      <w:b/>
      <w:bCs/>
      <w:smallCaps/>
      <w:color w:val="E6C069"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686963" w:themeColor="accent1" w:themeShade="BF"/>
    </w:rPr>
    <w:tblPr>
      <w:tblStyleRowBandSize w:val="1"/>
      <w:tblStyleColBandSize w:val="1"/>
      <w:tblBorders>
        <w:top w:val="single" w:sz="8" w:space="0" w:color="8C8D86" w:themeColor="accent1"/>
        <w:bottom w:val="single" w:sz="8" w:space="0" w:color="8C8D86" w:themeColor="accent1"/>
      </w:tblBorders>
    </w:tblPr>
    <w:tblStylePr w:type="firstRow">
      <w:pPr>
        <w:spacing w:before="0" w:after="0" w:line="240" w:lineRule="auto"/>
      </w:pPr>
      <w:rPr>
        <w:b/>
        <w:bCs/>
      </w:rPr>
      <w:tblPr/>
      <w:tcPr>
        <w:tcBorders>
          <w:top w:val="single" w:sz="8" w:space="0" w:color="8C8D86" w:themeColor="accent1"/>
          <w:left w:val="nil"/>
          <w:bottom w:val="single" w:sz="8" w:space="0" w:color="8C8D86" w:themeColor="accent1"/>
          <w:right w:val="nil"/>
          <w:insideH w:val="nil"/>
          <w:insideV w:val="nil"/>
        </w:tcBorders>
      </w:tcPr>
    </w:tblStylePr>
    <w:tblStylePr w:type="lastRow">
      <w:pPr>
        <w:spacing w:before="0" w:after="0" w:line="240" w:lineRule="auto"/>
      </w:pPr>
      <w:rPr>
        <w:b/>
        <w:bCs/>
      </w:rPr>
      <w:tblPr/>
      <w:tcPr>
        <w:tcBorders>
          <w:top w:val="single" w:sz="8" w:space="0" w:color="8C8D86" w:themeColor="accent1"/>
          <w:left w:val="nil"/>
          <w:bottom w:val="single" w:sz="8" w:space="0" w:color="8C8D8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E2E0" w:themeFill="accent1" w:themeFillTint="3F"/>
      </w:tcPr>
    </w:tblStylePr>
    <w:tblStylePr w:type="band1Horz">
      <w:tblPr/>
      <w:tcPr>
        <w:tcBorders>
          <w:left w:val="nil"/>
          <w:right w:val="nil"/>
          <w:insideH w:val="nil"/>
          <w:insideV w:val="nil"/>
        </w:tcBorders>
        <w:shd w:val="clear" w:color="auto" w:fill="E2E2E0" w:themeFill="accent1" w:themeFillTint="3F"/>
      </w:tcPr>
    </w:tblStylePr>
  </w:style>
  <w:style w:type="table" w:styleId="13">
    <w:name w:val="Light Shading Accent 2"/>
    <w:basedOn w:val="a3"/>
    <w:uiPriority w:val="60"/>
    <w:rsid w:val="00FC693F"/>
    <w:pPr>
      <w:spacing w:after="0" w:line="240" w:lineRule="auto"/>
    </w:pPr>
    <w:rPr>
      <w:color w:val="D6A024" w:themeColor="accent2" w:themeShade="BF"/>
    </w:rPr>
    <w:tblPr>
      <w:tblStyleRowBandSize w:val="1"/>
      <w:tblStyleColBandSize w:val="1"/>
      <w:tblBorders>
        <w:top w:val="single" w:sz="8" w:space="0" w:color="E6C069" w:themeColor="accent2"/>
        <w:bottom w:val="single" w:sz="8" w:space="0" w:color="E6C069" w:themeColor="accent2"/>
      </w:tblBorders>
    </w:tblPr>
    <w:tblStylePr w:type="firstRow">
      <w:pPr>
        <w:spacing w:before="0" w:after="0" w:line="240" w:lineRule="auto"/>
      </w:pPr>
      <w:rPr>
        <w:b/>
        <w:bCs/>
      </w:rPr>
      <w:tblPr/>
      <w:tcPr>
        <w:tcBorders>
          <w:top w:val="single" w:sz="8" w:space="0" w:color="E6C069" w:themeColor="accent2"/>
          <w:left w:val="nil"/>
          <w:bottom w:val="single" w:sz="8" w:space="0" w:color="E6C069" w:themeColor="accent2"/>
          <w:right w:val="nil"/>
          <w:insideH w:val="nil"/>
          <w:insideV w:val="nil"/>
        </w:tcBorders>
      </w:tcPr>
    </w:tblStylePr>
    <w:tblStylePr w:type="lastRow">
      <w:pPr>
        <w:spacing w:before="0" w:after="0" w:line="240" w:lineRule="auto"/>
      </w:pPr>
      <w:rPr>
        <w:b/>
        <w:bCs/>
      </w:rPr>
      <w:tblPr/>
      <w:tcPr>
        <w:tcBorders>
          <w:top w:val="single" w:sz="8" w:space="0" w:color="E6C069" w:themeColor="accent2"/>
          <w:left w:val="nil"/>
          <w:bottom w:val="single" w:sz="8" w:space="0" w:color="E6C06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EFD9" w:themeFill="accent2" w:themeFillTint="3F"/>
      </w:tcPr>
    </w:tblStylePr>
    <w:tblStylePr w:type="band1Horz">
      <w:tblPr/>
      <w:tcPr>
        <w:tcBorders>
          <w:left w:val="nil"/>
          <w:right w:val="nil"/>
          <w:insideH w:val="nil"/>
          <w:insideV w:val="nil"/>
        </w:tcBorders>
        <w:shd w:val="clear" w:color="auto" w:fill="F8EFD9" w:themeFill="accent2" w:themeFillTint="3F"/>
      </w:tcPr>
    </w:tblStylePr>
  </w:style>
  <w:style w:type="table" w:styleId="14">
    <w:name w:val="Light Shading Accent 3"/>
    <w:basedOn w:val="a3"/>
    <w:uiPriority w:val="60"/>
    <w:rsid w:val="00FC693F"/>
    <w:pPr>
      <w:spacing w:after="0" w:line="240" w:lineRule="auto"/>
    </w:pPr>
    <w:rPr>
      <w:color w:val="665B48" w:themeColor="accent3" w:themeShade="BF"/>
    </w:rPr>
    <w:tblPr>
      <w:tblStyleRowBandSize w:val="1"/>
      <w:tblStyleColBandSize w:val="1"/>
      <w:tblBorders>
        <w:top w:val="single" w:sz="8" w:space="0" w:color="897B61" w:themeColor="accent3"/>
        <w:bottom w:val="single" w:sz="8" w:space="0" w:color="897B61" w:themeColor="accent3"/>
      </w:tblBorders>
    </w:tblPr>
    <w:tblStylePr w:type="firstRow">
      <w:pPr>
        <w:spacing w:before="0" w:after="0" w:line="240" w:lineRule="auto"/>
      </w:pPr>
      <w:rPr>
        <w:b/>
        <w:bCs/>
      </w:rPr>
      <w:tblPr/>
      <w:tcPr>
        <w:tcBorders>
          <w:top w:val="single" w:sz="8" w:space="0" w:color="897B61" w:themeColor="accent3"/>
          <w:left w:val="nil"/>
          <w:bottom w:val="single" w:sz="8" w:space="0" w:color="897B61" w:themeColor="accent3"/>
          <w:right w:val="nil"/>
          <w:insideH w:val="nil"/>
          <w:insideV w:val="nil"/>
        </w:tcBorders>
      </w:tcPr>
    </w:tblStylePr>
    <w:tblStylePr w:type="lastRow">
      <w:pPr>
        <w:spacing w:before="0" w:after="0" w:line="240" w:lineRule="auto"/>
      </w:pPr>
      <w:rPr>
        <w:b/>
        <w:bCs/>
      </w:rPr>
      <w:tblPr/>
      <w:tcPr>
        <w:tcBorders>
          <w:top w:val="single" w:sz="8" w:space="0" w:color="897B61" w:themeColor="accent3"/>
          <w:left w:val="nil"/>
          <w:bottom w:val="single" w:sz="8" w:space="0" w:color="897B6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DED7" w:themeFill="accent3" w:themeFillTint="3F"/>
      </w:tcPr>
    </w:tblStylePr>
    <w:tblStylePr w:type="band1Horz">
      <w:tblPr/>
      <w:tcPr>
        <w:tcBorders>
          <w:left w:val="nil"/>
          <w:right w:val="nil"/>
          <w:insideH w:val="nil"/>
          <w:insideV w:val="nil"/>
        </w:tcBorders>
        <w:shd w:val="clear" w:color="auto" w:fill="E2DED7" w:themeFill="accent3" w:themeFillTint="3F"/>
      </w:tcPr>
    </w:tblStylePr>
  </w:style>
  <w:style w:type="table" w:styleId="15">
    <w:name w:val="Light Shading Accent 4"/>
    <w:basedOn w:val="a3"/>
    <w:uiPriority w:val="60"/>
    <w:rsid w:val="00FC693F"/>
    <w:pPr>
      <w:spacing w:after="0" w:line="240" w:lineRule="auto"/>
    </w:pPr>
    <w:rPr>
      <w:color w:val="638664" w:themeColor="accent4" w:themeShade="BF"/>
    </w:rPr>
    <w:tblPr>
      <w:tblStyleRowBandSize w:val="1"/>
      <w:tblStyleColBandSize w:val="1"/>
      <w:tblBorders>
        <w:top w:val="single" w:sz="8" w:space="0" w:color="8DAB8E" w:themeColor="accent4"/>
        <w:bottom w:val="single" w:sz="8" w:space="0" w:color="8DAB8E" w:themeColor="accent4"/>
      </w:tblBorders>
    </w:tblPr>
    <w:tblStylePr w:type="firstRow">
      <w:pPr>
        <w:spacing w:before="0" w:after="0" w:line="240" w:lineRule="auto"/>
      </w:pPr>
      <w:rPr>
        <w:b/>
        <w:bCs/>
      </w:rPr>
      <w:tblPr/>
      <w:tcPr>
        <w:tcBorders>
          <w:top w:val="single" w:sz="8" w:space="0" w:color="8DAB8E" w:themeColor="accent4"/>
          <w:left w:val="nil"/>
          <w:bottom w:val="single" w:sz="8" w:space="0" w:color="8DAB8E" w:themeColor="accent4"/>
          <w:right w:val="nil"/>
          <w:insideH w:val="nil"/>
          <w:insideV w:val="nil"/>
        </w:tcBorders>
      </w:tcPr>
    </w:tblStylePr>
    <w:tblStylePr w:type="lastRow">
      <w:pPr>
        <w:spacing w:before="0" w:after="0" w:line="240" w:lineRule="auto"/>
      </w:pPr>
      <w:rPr>
        <w:b/>
        <w:bCs/>
      </w:rPr>
      <w:tblPr/>
      <w:tcPr>
        <w:tcBorders>
          <w:top w:val="single" w:sz="8" w:space="0" w:color="8DAB8E" w:themeColor="accent4"/>
          <w:left w:val="nil"/>
          <w:bottom w:val="single" w:sz="8" w:space="0" w:color="8DAB8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EAE2" w:themeFill="accent4" w:themeFillTint="3F"/>
      </w:tcPr>
    </w:tblStylePr>
    <w:tblStylePr w:type="band1Horz">
      <w:tblPr/>
      <w:tcPr>
        <w:tcBorders>
          <w:left w:val="nil"/>
          <w:right w:val="nil"/>
          <w:insideH w:val="nil"/>
          <w:insideV w:val="nil"/>
        </w:tcBorders>
        <w:shd w:val="clear" w:color="auto" w:fill="E2EAE2" w:themeFill="accent4" w:themeFillTint="3F"/>
      </w:tcPr>
    </w:tblStylePr>
  </w:style>
  <w:style w:type="table" w:styleId="16">
    <w:name w:val="Light Shading Accent 5"/>
    <w:basedOn w:val="a3"/>
    <w:uiPriority w:val="60"/>
    <w:rsid w:val="00FC693F"/>
    <w:pPr>
      <w:spacing w:after="0" w:line="240" w:lineRule="auto"/>
    </w:pPr>
    <w:rPr>
      <w:color w:val="4C7C98" w:themeColor="accent5" w:themeShade="BF"/>
    </w:rPr>
    <w:tblPr>
      <w:tblStyleRowBandSize w:val="1"/>
      <w:tblStyleColBandSize w:val="1"/>
      <w:tblBorders>
        <w:top w:val="single" w:sz="8" w:space="0" w:color="77A2BB" w:themeColor="accent5"/>
        <w:bottom w:val="single" w:sz="8" w:space="0" w:color="77A2BB" w:themeColor="accent5"/>
      </w:tblBorders>
    </w:tblPr>
    <w:tblStylePr w:type="firstRow">
      <w:pPr>
        <w:spacing w:before="0" w:after="0" w:line="240" w:lineRule="auto"/>
      </w:pPr>
      <w:rPr>
        <w:b/>
        <w:bCs/>
      </w:rPr>
      <w:tblPr/>
      <w:tcPr>
        <w:tcBorders>
          <w:top w:val="single" w:sz="8" w:space="0" w:color="77A2BB" w:themeColor="accent5"/>
          <w:left w:val="nil"/>
          <w:bottom w:val="single" w:sz="8" w:space="0" w:color="77A2BB" w:themeColor="accent5"/>
          <w:right w:val="nil"/>
          <w:insideH w:val="nil"/>
          <w:insideV w:val="nil"/>
        </w:tcBorders>
      </w:tcPr>
    </w:tblStylePr>
    <w:tblStylePr w:type="lastRow">
      <w:pPr>
        <w:spacing w:before="0" w:after="0" w:line="240" w:lineRule="auto"/>
      </w:pPr>
      <w:rPr>
        <w:b/>
        <w:bCs/>
      </w:rPr>
      <w:tblPr/>
      <w:tcPr>
        <w:tcBorders>
          <w:top w:val="single" w:sz="8" w:space="0" w:color="77A2BB" w:themeColor="accent5"/>
          <w:left w:val="nil"/>
          <w:bottom w:val="single" w:sz="8" w:space="0" w:color="77A2B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E7EE" w:themeFill="accent5" w:themeFillTint="3F"/>
      </w:tcPr>
    </w:tblStylePr>
    <w:tblStylePr w:type="band1Horz">
      <w:tblPr/>
      <w:tcPr>
        <w:tcBorders>
          <w:left w:val="nil"/>
          <w:right w:val="nil"/>
          <w:insideH w:val="nil"/>
          <w:insideV w:val="nil"/>
        </w:tcBorders>
        <w:shd w:val="clear" w:color="auto" w:fill="DDE7EE" w:themeFill="accent5" w:themeFillTint="3F"/>
      </w:tcPr>
    </w:tblStylePr>
  </w:style>
  <w:style w:type="table" w:styleId="17">
    <w:name w:val="Light Shading Accent 6"/>
    <w:basedOn w:val="a3"/>
    <w:uiPriority w:val="60"/>
    <w:rsid w:val="00FC693F"/>
    <w:pPr>
      <w:spacing w:after="0" w:line="240" w:lineRule="auto"/>
    </w:pPr>
    <w:rPr>
      <w:color w:val="D13A54" w:themeColor="accent6" w:themeShade="BF"/>
    </w:rPr>
    <w:tblPr>
      <w:tblStyleRowBandSize w:val="1"/>
      <w:tblStyleColBandSize w:val="1"/>
      <w:tblBorders>
        <w:top w:val="single" w:sz="8" w:space="0" w:color="E28394" w:themeColor="accent6"/>
        <w:bottom w:val="single" w:sz="8" w:space="0" w:color="E28394" w:themeColor="accent6"/>
      </w:tblBorders>
    </w:tblPr>
    <w:tblStylePr w:type="firstRow">
      <w:pPr>
        <w:spacing w:before="0" w:after="0" w:line="240" w:lineRule="auto"/>
      </w:pPr>
      <w:rPr>
        <w:b/>
        <w:bCs/>
      </w:rPr>
      <w:tblPr/>
      <w:tcPr>
        <w:tcBorders>
          <w:top w:val="single" w:sz="8" w:space="0" w:color="E28394" w:themeColor="accent6"/>
          <w:left w:val="nil"/>
          <w:bottom w:val="single" w:sz="8" w:space="0" w:color="E28394" w:themeColor="accent6"/>
          <w:right w:val="nil"/>
          <w:insideH w:val="nil"/>
          <w:insideV w:val="nil"/>
        </w:tcBorders>
      </w:tcPr>
    </w:tblStylePr>
    <w:tblStylePr w:type="lastRow">
      <w:pPr>
        <w:spacing w:before="0" w:after="0" w:line="240" w:lineRule="auto"/>
      </w:pPr>
      <w:rPr>
        <w:b/>
        <w:bCs/>
      </w:rPr>
      <w:tblPr/>
      <w:tcPr>
        <w:tcBorders>
          <w:top w:val="single" w:sz="8" w:space="0" w:color="E28394" w:themeColor="accent6"/>
          <w:left w:val="nil"/>
          <w:bottom w:val="single" w:sz="8" w:space="0" w:color="E2839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E0E4" w:themeFill="accent6" w:themeFillTint="3F"/>
      </w:tcPr>
    </w:tblStylePr>
    <w:tblStylePr w:type="band1Horz">
      <w:tblPr/>
      <w:tcPr>
        <w:tcBorders>
          <w:left w:val="nil"/>
          <w:right w:val="nil"/>
          <w:insideH w:val="nil"/>
          <w:insideV w:val="nil"/>
        </w:tcBorders>
        <w:shd w:val="clear" w:color="auto" w:fill="F7E0E4"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8C8D86" w:themeColor="accent1"/>
        <w:left w:val="single" w:sz="8" w:space="0" w:color="8C8D86" w:themeColor="accent1"/>
        <w:bottom w:val="single" w:sz="8" w:space="0" w:color="8C8D86" w:themeColor="accent1"/>
        <w:right w:val="single" w:sz="8" w:space="0" w:color="8C8D86" w:themeColor="accent1"/>
      </w:tblBorders>
    </w:tblPr>
    <w:tblStylePr w:type="firstRow">
      <w:pPr>
        <w:spacing w:before="0" w:after="0" w:line="240" w:lineRule="auto"/>
      </w:pPr>
      <w:rPr>
        <w:b/>
        <w:bCs/>
        <w:color w:val="FFFFFF" w:themeColor="background1"/>
      </w:rPr>
      <w:tblPr/>
      <w:tcPr>
        <w:shd w:val="clear" w:color="auto" w:fill="8C8D86" w:themeFill="accent1"/>
      </w:tcPr>
    </w:tblStylePr>
    <w:tblStylePr w:type="lastRow">
      <w:pPr>
        <w:spacing w:before="0" w:after="0" w:line="240" w:lineRule="auto"/>
      </w:pPr>
      <w:rPr>
        <w:b/>
        <w:bCs/>
      </w:rPr>
      <w:tblPr/>
      <w:tcPr>
        <w:tcBorders>
          <w:top w:val="double" w:sz="6" w:space="0" w:color="8C8D86" w:themeColor="accent1"/>
          <w:left w:val="single" w:sz="8" w:space="0" w:color="8C8D86" w:themeColor="accent1"/>
          <w:bottom w:val="single" w:sz="8" w:space="0" w:color="8C8D86" w:themeColor="accent1"/>
          <w:right w:val="single" w:sz="8" w:space="0" w:color="8C8D86" w:themeColor="accent1"/>
        </w:tcBorders>
      </w:tcPr>
    </w:tblStylePr>
    <w:tblStylePr w:type="firstCol">
      <w:rPr>
        <w:b/>
        <w:bCs/>
      </w:rPr>
    </w:tblStylePr>
    <w:tblStylePr w:type="lastCol">
      <w:rPr>
        <w:b/>
        <w:bCs/>
      </w:rPr>
    </w:tblStylePr>
    <w:tblStylePr w:type="band1Vert">
      <w:tblPr/>
      <w:tcPr>
        <w:tcBorders>
          <w:top w:val="single" w:sz="8" w:space="0" w:color="8C8D86" w:themeColor="accent1"/>
          <w:left w:val="single" w:sz="8" w:space="0" w:color="8C8D86" w:themeColor="accent1"/>
          <w:bottom w:val="single" w:sz="8" w:space="0" w:color="8C8D86" w:themeColor="accent1"/>
          <w:right w:val="single" w:sz="8" w:space="0" w:color="8C8D86" w:themeColor="accent1"/>
        </w:tcBorders>
      </w:tcPr>
    </w:tblStylePr>
    <w:tblStylePr w:type="band1Horz">
      <w:tblPr/>
      <w:tcPr>
        <w:tcBorders>
          <w:top w:val="single" w:sz="8" w:space="0" w:color="8C8D86" w:themeColor="accent1"/>
          <w:left w:val="single" w:sz="8" w:space="0" w:color="8C8D86" w:themeColor="accent1"/>
          <w:bottom w:val="single" w:sz="8" w:space="0" w:color="8C8D86" w:themeColor="accent1"/>
          <w:right w:val="single" w:sz="8" w:space="0" w:color="8C8D86"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E6C069" w:themeColor="accent2"/>
        <w:left w:val="single" w:sz="8" w:space="0" w:color="E6C069" w:themeColor="accent2"/>
        <w:bottom w:val="single" w:sz="8" w:space="0" w:color="E6C069" w:themeColor="accent2"/>
        <w:right w:val="single" w:sz="8" w:space="0" w:color="E6C069" w:themeColor="accent2"/>
      </w:tblBorders>
    </w:tblPr>
    <w:tblStylePr w:type="firstRow">
      <w:pPr>
        <w:spacing w:before="0" w:after="0" w:line="240" w:lineRule="auto"/>
      </w:pPr>
      <w:rPr>
        <w:b/>
        <w:bCs/>
        <w:color w:val="FFFFFF" w:themeColor="background1"/>
      </w:rPr>
      <w:tblPr/>
      <w:tcPr>
        <w:shd w:val="clear" w:color="auto" w:fill="E6C069" w:themeFill="accent2"/>
      </w:tcPr>
    </w:tblStylePr>
    <w:tblStylePr w:type="lastRow">
      <w:pPr>
        <w:spacing w:before="0" w:after="0" w:line="240" w:lineRule="auto"/>
      </w:pPr>
      <w:rPr>
        <w:b/>
        <w:bCs/>
      </w:rPr>
      <w:tblPr/>
      <w:tcPr>
        <w:tcBorders>
          <w:top w:val="double" w:sz="6" w:space="0" w:color="E6C069" w:themeColor="accent2"/>
          <w:left w:val="single" w:sz="8" w:space="0" w:color="E6C069" w:themeColor="accent2"/>
          <w:bottom w:val="single" w:sz="8" w:space="0" w:color="E6C069" w:themeColor="accent2"/>
          <w:right w:val="single" w:sz="8" w:space="0" w:color="E6C069" w:themeColor="accent2"/>
        </w:tcBorders>
      </w:tcPr>
    </w:tblStylePr>
    <w:tblStylePr w:type="firstCol">
      <w:rPr>
        <w:b/>
        <w:bCs/>
      </w:rPr>
    </w:tblStylePr>
    <w:tblStylePr w:type="lastCol">
      <w:rPr>
        <w:b/>
        <w:bCs/>
      </w:rPr>
    </w:tblStylePr>
    <w:tblStylePr w:type="band1Vert">
      <w:tblPr/>
      <w:tcPr>
        <w:tcBorders>
          <w:top w:val="single" w:sz="8" w:space="0" w:color="E6C069" w:themeColor="accent2"/>
          <w:left w:val="single" w:sz="8" w:space="0" w:color="E6C069" w:themeColor="accent2"/>
          <w:bottom w:val="single" w:sz="8" w:space="0" w:color="E6C069" w:themeColor="accent2"/>
          <w:right w:val="single" w:sz="8" w:space="0" w:color="E6C069" w:themeColor="accent2"/>
        </w:tcBorders>
      </w:tcPr>
    </w:tblStylePr>
    <w:tblStylePr w:type="band1Horz">
      <w:tblPr/>
      <w:tcPr>
        <w:tcBorders>
          <w:top w:val="single" w:sz="8" w:space="0" w:color="E6C069" w:themeColor="accent2"/>
          <w:left w:val="single" w:sz="8" w:space="0" w:color="E6C069" w:themeColor="accent2"/>
          <w:bottom w:val="single" w:sz="8" w:space="0" w:color="E6C069" w:themeColor="accent2"/>
          <w:right w:val="single" w:sz="8" w:space="0" w:color="E6C069"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897B61" w:themeColor="accent3"/>
        <w:left w:val="single" w:sz="8" w:space="0" w:color="897B61" w:themeColor="accent3"/>
        <w:bottom w:val="single" w:sz="8" w:space="0" w:color="897B61" w:themeColor="accent3"/>
        <w:right w:val="single" w:sz="8" w:space="0" w:color="897B61" w:themeColor="accent3"/>
      </w:tblBorders>
    </w:tblPr>
    <w:tblStylePr w:type="firstRow">
      <w:pPr>
        <w:spacing w:before="0" w:after="0" w:line="240" w:lineRule="auto"/>
      </w:pPr>
      <w:rPr>
        <w:b/>
        <w:bCs/>
        <w:color w:val="FFFFFF" w:themeColor="background1"/>
      </w:rPr>
      <w:tblPr/>
      <w:tcPr>
        <w:shd w:val="clear" w:color="auto" w:fill="897B61" w:themeFill="accent3"/>
      </w:tcPr>
    </w:tblStylePr>
    <w:tblStylePr w:type="lastRow">
      <w:pPr>
        <w:spacing w:before="0" w:after="0" w:line="240" w:lineRule="auto"/>
      </w:pPr>
      <w:rPr>
        <w:b/>
        <w:bCs/>
      </w:rPr>
      <w:tblPr/>
      <w:tcPr>
        <w:tcBorders>
          <w:top w:val="double" w:sz="6" w:space="0" w:color="897B61" w:themeColor="accent3"/>
          <w:left w:val="single" w:sz="8" w:space="0" w:color="897B61" w:themeColor="accent3"/>
          <w:bottom w:val="single" w:sz="8" w:space="0" w:color="897B61" w:themeColor="accent3"/>
          <w:right w:val="single" w:sz="8" w:space="0" w:color="897B61" w:themeColor="accent3"/>
        </w:tcBorders>
      </w:tcPr>
    </w:tblStylePr>
    <w:tblStylePr w:type="firstCol">
      <w:rPr>
        <w:b/>
        <w:bCs/>
      </w:rPr>
    </w:tblStylePr>
    <w:tblStylePr w:type="lastCol">
      <w:rPr>
        <w:b/>
        <w:bCs/>
      </w:rPr>
    </w:tblStylePr>
    <w:tblStylePr w:type="band1Vert">
      <w:tblPr/>
      <w:tcPr>
        <w:tcBorders>
          <w:top w:val="single" w:sz="8" w:space="0" w:color="897B61" w:themeColor="accent3"/>
          <w:left w:val="single" w:sz="8" w:space="0" w:color="897B61" w:themeColor="accent3"/>
          <w:bottom w:val="single" w:sz="8" w:space="0" w:color="897B61" w:themeColor="accent3"/>
          <w:right w:val="single" w:sz="8" w:space="0" w:color="897B61" w:themeColor="accent3"/>
        </w:tcBorders>
      </w:tcPr>
    </w:tblStylePr>
    <w:tblStylePr w:type="band1Horz">
      <w:tblPr/>
      <w:tcPr>
        <w:tcBorders>
          <w:top w:val="single" w:sz="8" w:space="0" w:color="897B61" w:themeColor="accent3"/>
          <w:left w:val="single" w:sz="8" w:space="0" w:color="897B61" w:themeColor="accent3"/>
          <w:bottom w:val="single" w:sz="8" w:space="0" w:color="897B61" w:themeColor="accent3"/>
          <w:right w:val="single" w:sz="8" w:space="0" w:color="897B61"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DAB8E" w:themeColor="accent4"/>
        <w:left w:val="single" w:sz="8" w:space="0" w:color="8DAB8E" w:themeColor="accent4"/>
        <w:bottom w:val="single" w:sz="8" w:space="0" w:color="8DAB8E" w:themeColor="accent4"/>
        <w:right w:val="single" w:sz="8" w:space="0" w:color="8DAB8E" w:themeColor="accent4"/>
      </w:tblBorders>
    </w:tblPr>
    <w:tblStylePr w:type="firstRow">
      <w:pPr>
        <w:spacing w:before="0" w:after="0" w:line="240" w:lineRule="auto"/>
      </w:pPr>
      <w:rPr>
        <w:b/>
        <w:bCs/>
        <w:color w:val="FFFFFF" w:themeColor="background1"/>
      </w:rPr>
      <w:tblPr/>
      <w:tcPr>
        <w:shd w:val="clear" w:color="auto" w:fill="8DAB8E" w:themeFill="accent4"/>
      </w:tcPr>
    </w:tblStylePr>
    <w:tblStylePr w:type="lastRow">
      <w:pPr>
        <w:spacing w:before="0" w:after="0" w:line="240" w:lineRule="auto"/>
      </w:pPr>
      <w:rPr>
        <w:b/>
        <w:bCs/>
      </w:rPr>
      <w:tblPr/>
      <w:tcPr>
        <w:tcBorders>
          <w:top w:val="double" w:sz="6" w:space="0" w:color="8DAB8E" w:themeColor="accent4"/>
          <w:left w:val="single" w:sz="8" w:space="0" w:color="8DAB8E" w:themeColor="accent4"/>
          <w:bottom w:val="single" w:sz="8" w:space="0" w:color="8DAB8E" w:themeColor="accent4"/>
          <w:right w:val="single" w:sz="8" w:space="0" w:color="8DAB8E" w:themeColor="accent4"/>
        </w:tcBorders>
      </w:tcPr>
    </w:tblStylePr>
    <w:tblStylePr w:type="firstCol">
      <w:rPr>
        <w:b/>
        <w:bCs/>
      </w:rPr>
    </w:tblStylePr>
    <w:tblStylePr w:type="lastCol">
      <w:rPr>
        <w:b/>
        <w:bCs/>
      </w:rPr>
    </w:tblStylePr>
    <w:tblStylePr w:type="band1Vert">
      <w:tblPr/>
      <w:tcPr>
        <w:tcBorders>
          <w:top w:val="single" w:sz="8" w:space="0" w:color="8DAB8E" w:themeColor="accent4"/>
          <w:left w:val="single" w:sz="8" w:space="0" w:color="8DAB8E" w:themeColor="accent4"/>
          <w:bottom w:val="single" w:sz="8" w:space="0" w:color="8DAB8E" w:themeColor="accent4"/>
          <w:right w:val="single" w:sz="8" w:space="0" w:color="8DAB8E" w:themeColor="accent4"/>
        </w:tcBorders>
      </w:tcPr>
    </w:tblStylePr>
    <w:tblStylePr w:type="band1Horz">
      <w:tblPr/>
      <w:tcPr>
        <w:tcBorders>
          <w:top w:val="single" w:sz="8" w:space="0" w:color="8DAB8E" w:themeColor="accent4"/>
          <w:left w:val="single" w:sz="8" w:space="0" w:color="8DAB8E" w:themeColor="accent4"/>
          <w:bottom w:val="single" w:sz="8" w:space="0" w:color="8DAB8E" w:themeColor="accent4"/>
          <w:right w:val="single" w:sz="8" w:space="0" w:color="8DAB8E"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77A2BB" w:themeColor="accent5"/>
        <w:left w:val="single" w:sz="8" w:space="0" w:color="77A2BB" w:themeColor="accent5"/>
        <w:bottom w:val="single" w:sz="8" w:space="0" w:color="77A2BB" w:themeColor="accent5"/>
        <w:right w:val="single" w:sz="8" w:space="0" w:color="77A2BB" w:themeColor="accent5"/>
      </w:tblBorders>
    </w:tblPr>
    <w:tblStylePr w:type="firstRow">
      <w:pPr>
        <w:spacing w:before="0" w:after="0" w:line="240" w:lineRule="auto"/>
      </w:pPr>
      <w:rPr>
        <w:b/>
        <w:bCs/>
        <w:color w:val="FFFFFF" w:themeColor="background1"/>
      </w:rPr>
      <w:tblPr/>
      <w:tcPr>
        <w:shd w:val="clear" w:color="auto" w:fill="77A2BB" w:themeFill="accent5"/>
      </w:tcPr>
    </w:tblStylePr>
    <w:tblStylePr w:type="lastRow">
      <w:pPr>
        <w:spacing w:before="0" w:after="0" w:line="240" w:lineRule="auto"/>
      </w:pPr>
      <w:rPr>
        <w:b/>
        <w:bCs/>
      </w:rPr>
      <w:tblPr/>
      <w:tcPr>
        <w:tcBorders>
          <w:top w:val="double" w:sz="6" w:space="0" w:color="77A2BB" w:themeColor="accent5"/>
          <w:left w:val="single" w:sz="8" w:space="0" w:color="77A2BB" w:themeColor="accent5"/>
          <w:bottom w:val="single" w:sz="8" w:space="0" w:color="77A2BB" w:themeColor="accent5"/>
          <w:right w:val="single" w:sz="8" w:space="0" w:color="77A2BB" w:themeColor="accent5"/>
        </w:tcBorders>
      </w:tcPr>
    </w:tblStylePr>
    <w:tblStylePr w:type="firstCol">
      <w:rPr>
        <w:b/>
        <w:bCs/>
      </w:rPr>
    </w:tblStylePr>
    <w:tblStylePr w:type="lastCol">
      <w:rPr>
        <w:b/>
        <w:bCs/>
      </w:rPr>
    </w:tblStylePr>
    <w:tblStylePr w:type="band1Vert">
      <w:tblPr/>
      <w:tcPr>
        <w:tcBorders>
          <w:top w:val="single" w:sz="8" w:space="0" w:color="77A2BB" w:themeColor="accent5"/>
          <w:left w:val="single" w:sz="8" w:space="0" w:color="77A2BB" w:themeColor="accent5"/>
          <w:bottom w:val="single" w:sz="8" w:space="0" w:color="77A2BB" w:themeColor="accent5"/>
          <w:right w:val="single" w:sz="8" w:space="0" w:color="77A2BB" w:themeColor="accent5"/>
        </w:tcBorders>
      </w:tcPr>
    </w:tblStylePr>
    <w:tblStylePr w:type="band1Horz">
      <w:tblPr/>
      <w:tcPr>
        <w:tcBorders>
          <w:top w:val="single" w:sz="8" w:space="0" w:color="77A2BB" w:themeColor="accent5"/>
          <w:left w:val="single" w:sz="8" w:space="0" w:color="77A2BB" w:themeColor="accent5"/>
          <w:bottom w:val="single" w:sz="8" w:space="0" w:color="77A2BB" w:themeColor="accent5"/>
          <w:right w:val="single" w:sz="8" w:space="0" w:color="77A2BB"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E28394" w:themeColor="accent6"/>
        <w:left w:val="single" w:sz="8" w:space="0" w:color="E28394" w:themeColor="accent6"/>
        <w:bottom w:val="single" w:sz="8" w:space="0" w:color="E28394" w:themeColor="accent6"/>
        <w:right w:val="single" w:sz="8" w:space="0" w:color="E28394" w:themeColor="accent6"/>
      </w:tblBorders>
    </w:tblPr>
    <w:tblStylePr w:type="firstRow">
      <w:pPr>
        <w:spacing w:before="0" w:after="0" w:line="240" w:lineRule="auto"/>
      </w:pPr>
      <w:rPr>
        <w:b/>
        <w:bCs/>
        <w:color w:val="FFFFFF" w:themeColor="background1"/>
      </w:rPr>
      <w:tblPr/>
      <w:tcPr>
        <w:shd w:val="clear" w:color="auto" w:fill="E28394" w:themeFill="accent6"/>
      </w:tcPr>
    </w:tblStylePr>
    <w:tblStylePr w:type="lastRow">
      <w:pPr>
        <w:spacing w:before="0" w:after="0" w:line="240" w:lineRule="auto"/>
      </w:pPr>
      <w:rPr>
        <w:b/>
        <w:bCs/>
      </w:rPr>
      <w:tblPr/>
      <w:tcPr>
        <w:tcBorders>
          <w:top w:val="double" w:sz="6" w:space="0" w:color="E28394" w:themeColor="accent6"/>
          <w:left w:val="single" w:sz="8" w:space="0" w:color="E28394" w:themeColor="accent6"/>
          <w:bottom w:val="single" w:sz="8" w:space="0" w:color="E28394" w:themeColor="accent6"/>
          <w:right w:val="single" w:sz="8" w:space="0" w:color="E28394" w:themeColor="accent6"/>
        </w:tcBorders>
      </w:tcPr>
    </w:tblStylePr>
    <w:tblStylePr w:type="firstCol">
      <w:rPr>
        <w:b/>
        <w:bCs/>
      </w:rPr>
    </w:tblStylePr>
    <w:tblStylePr w:type="lastCol">
      <w:rPr>
        <w:b/>
        <w:bCs/>
      </w:rPr>
    </w:tblStylePr>
    <w:tblStylePr w:type="band1Vert">
      <w:tblPr/>
      <w:tcPr>
        <w:tcBorders>
          <w:top w:val="single" w:sz="8" w:space="0" w:color="E28394" w:themeColor="accent6"/>
          <w:left w:val="single" w:sz="8" w:space="0" w:color="E28394" w:themeColor="accent6"/>
          <w:bottom w:val="single" w:sz="8" w:space="0" w:color="E28394" w:themeColor="accent6"/>
          <w:right w:val="single" w:sz="8" w:space="0" w:color="E28394" w:themeColor="accent6"/>
        </w:tcBorders>
      </w:tcPr>
    </w:tblStylePr>
    <w:tblStylePr w:type="band1Horz">
      <w:tblPr/>
      <w:tcPr>
        <w:tcBorders>
          <w:top w:val="single" w:sz="8" w:space="0" w:color="E28394" w:themeColor="accent6"/>
          <w:left w:val="single" w:sz="8" w:space="0" w:color="E28394" w:themeColor="accent6"/>
          <w:bottom w:val="single" w:sz="8" w:space="0" w:color="E28394" w:themeColor="accent6"/>
          <w:right w:val="single" w:sz="8" w:space="0" w:color="E28394"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8C8D86" w:themeColor="accent1"/>
        <w:left w:val="single" w:sz="8" w:space="0" w:color="8C8D86" w:themeColor="accent1"/>
        <w:bottom w:val="single" w:sz="8" w:space="0" w:color="8C8D86" w:themeColor="accent1"/>
        <w:right w:val="single" w:sz="8" w:space="0" w:color="8C8D86" w:themeColor="accent1"/>
        <w:insideH w:val="single" w:sz="8" w:space="0" w:color="8C8D86" w:themeColor="accent1"/>
        <w:insideV w:val="single" w:sz="8" w:space="0" w:color="8C8D8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C8D86" w:themeColor="accent1"/>
          <w:left w:val="single" w:sz="8" w:space="0" w:color="8C8D86" w:themeColor="accent1"/>
          <w:bottom w:val="single" w:sz="18" w:space="0" w:color="8C8D86" w:themeColor="accent1"/>
          <w:right w:val="single" w:sz="8" w:space="0" w:color="8C8D86" w:themeColor="accent1"/>
          <w:insideH w:val="nil"/>
          <w:insideV w:val="single" w:sz="8" w:space="0" w:color="8C8D8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C8D86" w:themeColor="accent1"/>
          <w:left w:val="single" w:sz="8" w:space="0" w:color="8C8D86" w:themeColor="accent1"/>
          <w:bottom w:val="single" w:sz="8" w:space="0" w:color="8C8D86" w:themeColor="accent1"/>
          <w:right w:val="single" w:sz="8" w:space="0" w:color="8C8D86" w:themeColor="accent1"/>
          <w:insideH w:val="nil"/>
          <w:insideV w:val="single" w:sz="8" w:space="0" w:color="8C8D8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C8D86" w:themeColor="accent1"/>
          <w:left w:val="single" w:sz="8" w:space="0" w:color="8C8D86" w:themeColor="accent1"/>
          <w:bottom w:val="single" w:sz="8" w:space="0" w:color="8C8D86" w:themeColor="accent1"/>
          <w:right w:val="single" w:sz="8" w:space="0" w:color="8C8D86" w:themeColor="accent1"/>
        </w:tcBorders>
      </w:tcPr>
    </w:tblStylePr>
    <w:tblStylePr w:type="band1Vert">
      <w:tblPr/>
      <w:tcPr>
        <w:tcBorders>
          <w:top w:val="single" w:sz="8" w:space="0" w:color="8C8D86" w:themeColor="accent1"/>
          <w:left w:val="single" w:sz="8" w:space="0" w:color="8C8D86" w:themeColor="accent1"/>
          <w:bottom w:val="single" w:sz="8" w:space="0" w:color="8C8D86" w:themeColor="accent1"/>
          <w:right w:val="single" w:sz="8" w:space="0" w:color="8C8D86" w:themeColor="accent1"/>
        </w:tcBorders>
        <w:shd w:val="clear" w:color="auto" w:fill="E2E2E0" w:themeFill="accent1" w:themeFillTint="3F"/>
      </w:tcPr>
    </w:tblStylePr>
    <w:tblStylePr w:type="band1Horz">
      <w:tblPr/>
      <w:tcPr>
        <w:tcBorders>
          <w:top w:val="single" w:sz="8" w:space="0" w:color="8C8D86" w:themeColor="accent1"/>
          <w:left w:val="single" w:sz="8" w:space="0" w:color="8C8D86" w:themeColor="accent1"/>
          <w:bottom w:val="single" w:sz="8" w:space="0" w:color="8C8D86" w:themeColor="accent1"/>
          <w:right w:val="single" w:sz="8" w:space="0" w:color="8C8D86" w:themeColor="accent1"/>
          <w:insideV w:val="single" w:sz="8" w:space="0" w:color="8C8D86" w:themeColor="accent1"/>
        </w:tcBorders>
        <w:shd w:val="clear" w:color="auto" w:fill="E2E2E0" w:themeFill="accent1" w:themeFillTint="3F"/>
      </w:tcPr>
    </w:tblStylePr>
    <w:tblStylePr w:type="band2Horz">
      <w:tblPr/>
      <w:tcPr>
        <w:tcBorders>
          <w:top w:val="single" w:sz="8" w:space="0" w:color="8C8D86" w:themeColor="accent1"/>
          <w:left w:val="single" w:sz="8" w:space="0" w:color="8C8D86" w:themeColor="accent1"/>
          <w:bottom w:val="single" w:sz="8" w:space="0" w:color="8C8D86" w:themeColor="accent1"/>
          <w:right w:val="single" w:sz="8" w:space="0" w:color="8C8D86" w:themeColor="accent1"/>
          <w:insideV w:val="single" w:sz="8" w:space="0" w:color="8C8D86"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E6C069" w:themeColor="accent2"/>
        <w:left w:val="single" w:sz="8" w:space="0" w:color="E6C069" w:themeColor="accent2"/>
        <w:bottom w:val="single" w:sz="8" w:space="0" w:color="E6C069" w:themeColor="accent2"/>
        <w:right w:val="single" w:sz="8" w:space="0" w:color="E6C069" w:themeColor="accent2"/>
        <w:insideH w:val="single" w:sz="8" w:space="0" w:color="E6C069" w:themeColor="accent2"/>
        <w:insideV w:val="single" w:sz="8" w:space="0" w:color="E6C06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6C069" w:themeColor="accent2"/>
          <w:left w:val="single" w:sz="8" w:space="0" w:color="E6C069" w:themeColor="accent2"/>
          <w:bottom w:val="single" w:sz="18" w:space="0" w:color="E6C069" w:themeColor="accent2"/>
          <w:right w:val="single" w:sz="8" w:space="0" w:color="E6C069" w:themeColor="accent2"/>
          <w:insideH w:val="nil"/>
          <w:insideV w:val="single" w:sz="8" w:space="0" w:color="E6C06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C069" w:themeColor="accent2"/>
          <w:left w:val="single" w:sz="8" w:space="0" w:color="E6C069" w:themeColor="accent2"/>
          <w:bottom w:val="single" w:sz="8" w:space="0" w:color="E6C069" w:themeColor="accent2"/>
          <w:right w:val="single" w:sz="8" w:space="0" w:color="E6C069" w:themeColor="accent2"/>
          <w:insideH w:val="nil"/>
          <w:insideV w:val="single" w:sz="8" w:space="0" w:color="E6C06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C069" w:themeColor="accent2"/>
          <w:left w:val="single" w:sz="8" w:space="0" w:color="E6C069" w:themeColor="accent2"/>
          <w:bottom w:val="single" w:sz="8" w:space="0" w:color="E6C069" w:themeColor="accent2"/>
          <w:right w:val="single" w:sz="8" w:space="0" w:color="E6C069" w:themeColor="accent2"/>
        </w:tcBorders>
      </w:tcPr>
    </w:tblStylePr>
    <w:tblStylePr w:type="band1Vert">
      <w:tblPr/>
      <w:tcPr>
        <w:tcBorders>
          <w:top w:val="single" w:sz="8" w:space="0" w:color="E6C069" w:themeColor="accent2"/>
          <w:left w:val="single" w:sz="8" w:space="0" w:color="E6C069" w:themeColor="accent2"/>
          <w:bottom w:val="single" w:sz="8" w:space="0" w:color="E6C069" w:themeColor="accent2"/>
          <w:right w:val="single" w:sz="8" w:space="0" w:color="E6C069" w:themeColor="accent2"/>
        </w:tcBorders>
        <w:shd w:val="clear" w:color="auto" w:fill="F8EFD9" w:themeFill="accent2" w:themeFillTint="3F"/>
      </w:tcPr>
    </w:tblStylePr>
    <w:tblStylePr w:type="band1Horz">
      <w:tblPr/>
      <w:tcPr>
        <w:tcBorders>
          <w:top w:val="single" w:sz="8" w:space="0" w:color="E6C069" w:themeColor="accent2"/>
          <w:left w:val="single" w:sz="8" w:space="0" w:color="E6C069" w:themeColor="accent2"/>
          <w:bottom w:val="single" w:sz="8" w:space="0" w:color="E6C069" w:themeColor="accent2"/>
          <w:right w:val="single" w:sz="8" w:space="0" w:color="E6C069" w:themeColor="accent2"/>
          <w:insideV w:val="single" w:sz="8" w:space="0" w:color="E6C069" w:themeColor="accent2"/>
        </w:tcBorders>
        <w:shd w:val="clear" w:color="auto" w:fill="F8EFD9" w:themeFill="accent2" w:themeFillTint="3F"/>
      </w:tcPr>
    </w:tblStylePr>
    <w:tblStylePr w:type="band2Horz">
      <w:tblPr/>
      <w:tcPr>
        <w:tcBorders>
          <w:top w:val="single" w:sz="8" w:space="0" w:color="E6C069" w:themeColor="accent2"/>
          <w:left w:val="single" w:sz="8" w:space="0" w:color="E6C069" w:themeColor="accent2"/>
          <w:bottom w:val="single" w:sz="8" w:space="0" w:color="E6C069" w:themeColor="accent2"/>
          <w:right w:val="single" w:sz="8" w:space="0" w:color="E6C069" w:themeColor="accent2"/>
          <w:insideV w:val="single" w:sz="8" w:space="0" w:color="E6C069"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897B61" w:themeColor="accent3"/>
        <w:left w:val="single" w:sz="8" w:space="0" w:color="897B61" w:themeColor="accent3"/>
        <w:bottom w:val="single" w:sz="8" w:space="0" w:color="897B61" w:themeColor="accent3"/>
        <w:right w:val="single" w:sz="8" w:space="0" w:color="897B61" w:themeColor="accent3"/>
        <w:insideH w:val="single" w:sz="8" w:space="0" w:color="897B61" w:themeColor="accent3"/>
        <w:insideV w:val="single" w:sz="8" w:space="0" w:color="897B61"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97B61" w:themeColor="accent3"/>
          <w:left w:val="single" w:sz="8" w:space="0" w:color="897B61" w:themeColor="accent3"/>
          <w:bottom w:val="single" w:sz="18" w:space="0" w:color="897B61" w:themeColor="accent3"/>
          <w:right w:val="single" w:sz="8" w:space="0" w:color="897B61" w:themeColor="accent3"/>
          <w:insideH w:val="nil"/>
          <w:insideV w:val="single" w:sz="8" w:space="0" w:color="897B61"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97B61" w:themeColor="accent3"/>
          <w:left w:val="single" w:sz="8" w:space="0" w:color="897B61" w:themeColor="accent3"/>
          <w:bottom w:val="single" w:sz="8" w:space="0" w:color="897B61" w:themeColor="accent3"/>
          <w:right w:val="single" w:sz="8" w:space="0" w:color="897B61" w:themeColor="accent3"/>
          <w:insideH w:val="nil"/>
          <w:insideV w:val="single" w:sz="8" w:space="0" w:color="897B61"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97B61" w:themeColor="accent3"/>
          <w:left w:val="single" w:sz="8" w:space="0" w:color="897B61" w:themeColor="accent3"/>
          <w:bottom w:val="single" w:sz="8" w:space="0" w:color="897B61" w:themeColor="accent3"/>
          <w:right w:val="single" w:sz="8" w:space="0" w:color="897B61" w:themeColor="accent3"/>
        </w:tcBorders>
      </w:tcPr>
    </w:tblStylePr>
    <w:tblStylePr w:type="band1Vert">
      <w:tblPr/>
      <w:tcPr>
        <w:tcBorders>
          <w:top w:val="single" w:sz="8" w:space="0" w:color="897B61" w:themeColor="accent3"/>
          <w:left w:val="single" w:sz="8" w:space="0" w:color="897B61" w:themeColor="accent3"/>
          <w:bottom w:val="single" w:sz="8" w:space="0" w:color="897B61" w:themeColor="accent3"/>
          <w:right w:val="single" w:sz="8" w:space="0" w:color="897B61" w:themeColor="accent3"/>
        </w:tcBorders>
        <w:shd w:val="clear" w:color="auto" w:fill="E2DED7" w:themeFill="accent3" w:themeFillTint="3F"/>
      </w:tcPr>
    </w:tblStylePr>
    <w:tblStylePr w:type="band1Horz">
      <w:tblPr/>
      <w:tcPr>
        <w:tcBorders>
          <w:top w:val="single" w:sz="8" w:space="0" w:color="897B61" w:themeColor="accent3"/>
          <w:left w:val="single" w:sz="8" w:space="0" w:color="897B61" w:themeColor="accent3"/>
          <w:bottom w:val="single" w:sz="8" w:space="0" w:color="897B61" w:themeColor="accent3"/>
          <w:right w:val="single" w:sz="8" w:space="0" w:color="897B61" w:themeColor="accent3"/>
          <w:insideV w:val="single" w:sz="8" w:space="0" w:color="897B61" w:themeColor="accent3"/>
        </w:tcBorders>
        <w:shd w:val="clear" w:color="auto" w:fill="E2DED7" w:themeFill="accent3" w:themeFillTint="3F"/>
      </w:tcPr>
    </w:tblStylePr>
    <w:tblStylePr w:type="band2Horz">
      <w:tblPr/>
      <w:tcPr>
        <w:tcBorders>
          <w:top w:val="single" w:sz="8" w:space="0" w:color="897B61" w:themeColor="accent3"/>
          <w:left w:val="single" w:sz="8" w:space="0" w:color="897B61" w:themeColor="accent3"/>
          <w:bottom w:val="single" w:sz="8" w:space="0" w:color="897B61" w:themeColor="accent3"/>
          <w:right w:val="single" w:sz="8" w:space="0" w:color="897B61" w:themeColor="accent3"/>
          <w:insideV w:val="single" w:sz="8" w:space="0" w:color="897B61"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DAB8E" w:themeColor="accent4"/>
        <w:left w:val="single" w:sz="8" w:space="0" w:color="8DAB8E" w:themeColor="accent4"/>
        <w:bottom w:val="single" w:sz="8" w:space="0" w:color="8DAB8E" w:themeColor="accent4"/>
        <w:right w:val="single" w:sz="8" w:space="0" w:color="8DAB8E" w:themeColor="accent4"/>
        <w:insideH w:val="single" w:sz="8" w:space="0" w:color="8DAB8E" w:themeColor="accent4"/>
        <w:insideV w:val="single" w:sz="8" w:space="0" w:color="8DAB8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DAB8E" w:themeColor="accent4"/>
          <w:left w:val="single" w:sz="8" w:space="0" w:color="8DAB8E" w:themeColor="accent4"/>
          <w:bottom w:val="single" w:sz="18" w:space="0" w:color="8DAB8E" w:themeColor="accent4"/>
          <w:right w:val="single" w:sz="8" w:space="0" w:color="8DAB8E" w:themeColor="accent4"/>
          <w:insideH w:val="nil"/>
          <w:insideV w:val="single" w:sz="8" w:space="0" w:color="8DAB8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DAB8E" w:themeColor="accent4"/>
          <w:left w:val="single" w:sz="8" w:space="0" w:color="8DAB8E" w:themeColor="accent4"/>
          <w:bottom w:val="single" w:sz="8" w:space="0" w:color="8DAB8E" w:themeColor="accent4"/>
          <w:right w:val="single" w:sz="8" w:space="0" w:color="8DAB8E" w:themeColor="accent4"/>
          <w:insideH w:val="nil"/>
          <w:insideV w:val="single" w:sz="8" w:space="0" w:color="8DAB8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DAB8E" w:themeColor="accent4"/>
          <w:left w:val="single" w:sz="8" w:space="0" w:color="8DAB8E" w:themeColor="accent4"/>
          <w:bottom w:val="single" w:sz="8" w:space="0" w:color="8DAB8E" w:themeColor="accent4"/>
          <w:right w:val="single" w:sz="8" w:space="0" w:color="8DAB8E" w:themeColor="accent4"/>
        </w:tcBorders>
      </w:tcPr>
    </w:tblStylePr>
    <w:tblStylePr w:type="band1Vert">
      <w:tblPr/>
      <w:tcPr>
        <w:tcBorders>
          <w:top w:val="single" w:sz="8" w:space="0" w:color="8DAB8E" w:themeColor="accent4"/>
          <w:left w:val="single" w:sz="8" w:space="0" w:color="8DAB8E" w:themeColor="accent4"/>
          <w:bottom w:val="single" w:sz="8" w:space="0" w:color="8DAB8E" w:themeColor="accent4"/>
          <w:right w:val="single" w:sz="8" w:space="0" w:color="8DAB8E" w:themeColor="accent4"/>
        </w:tcBorders>
        <w:shd w:val="clear" w:color="auto" w:fill="E2EAE2" w:themeFill="accent4" w:themeFillTint="3F"/>
      </w:tcPr>
    </w:tblStylePr>
    <w:tblStylePr w:type="band1Horz">
      <w:tblPr/>
      <w:tcPr>
        <w:tcBorders>
          <w:top w:val="single" w:sz="8" w:space="0" w:color="8DAB8E" w:themeColor="accent4"/>
          <w:left w:val="single" w:sz="8" w:space="0" w:color="8DAB8E" w:themeColor="accent4"/>
          <w:bottom w:val="single" w:sz="8" w:space="0" w:color="8DAB8E" w:themeColor="accent4"/>
          <w:right w:val="single" w:sz="8" w:space="0" w:color="8DAB8E" w:themeColor="accent4"/>
          <w:insideV w:val="single" w:sz="8" w:space="0" w:color="8DAB8E" w:themeColor="accent4"/>
        </w:tcBorders>
        <w:shd w:val="clear" w:color="auto" w:fill="E2EAE2" w:themeFill="accent4" w:themeFillTint="3F"/>
      </w:tcPr>
    </w:tblStylePr>
    <w:tblStylePr w:type="band2Horz">
      <w:tblPr/>
      <w:tcPr>
        <w:tcBorders>
          <w:top w:val="single" w:sz="8" w:space="0" w:color="8DAB8E" w:themeColor="accent4"/>
          <w:left w:val="single" w:sz="8" w:space="0" w:color="8DAB8E" w:themeColor="accent4"/>
          <w:bottom w:val="single" w:sz="8" w:space="0" w:color="8DAB8E" w:themeColor="accent4"/>
          <w:right w:val="single" w:sz="8" w:space="0" w:color="8DAB8E" w:themeColor="accent4"/>
          <w:insideV w:val="single" w:sz="8" w:space="0" w:color="8DAB8E"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77A2BB" w:themeColor="accent5"/>
        <w:left w:val="single" w:sz="8" w:space="0" w:color="77A2BB" w:themeColor="accent5"/>
        <w:bottom w:val="single" w:sz="8" w:space="0" w:color="77A2BB" w:themeColor="accent5"/>
        <w:right w:val="single" w:sz="8" w:space="0" w:color="77A2BB" w:themeColor="accent5"/>
        <w:insideH w:val="single" w:sz="8" w:space="0" w:color="77A2BB" w:themeColor="accent5"/>
        <w:insideV w:val="single" w:sz="8" w:space="0" w:color="77A2B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7A2BB" w:themeColor="accent5"/>
          <w:left w:val="single" w:sz="8" w:space="0" w:color="77A2BB" w:themeColor="accent5"/>
          <w:bottom w:val="single" w:sz="18" w:space="0" w:color="77A2BB" w:themeColor="accent5"/>
          <w:right w:val="single" w:sz="8" w:space="0" w:color="77A2BB" w:themeColor="accent5"/>
          <w:insideH w:val="nil"/>
          <w:insideV w:val="single" w:sz="8" w:space="0" w:color="77A2B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7A2BB" w:themeColor="accent5"/>
          <w:left w:val="single" w:sz="8" w:space="0" w:color="77A2BB" w:themeColor="accent5"/>
          <w:bottom w:val="single" w:sz="8" w:space="0" w:color="77A2BB" w:themeColor="accent5"/>
          <w:right w:val="single" w:sz="8" w:space="0" w:color="77A2BB" w:themeColor="accent5"/>
          <w:insideH w:val="nil"/>
          <w:insideV w:val="single" w:sz="8" w:space="0" w:color="77A2B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7A2BB" w:themeColor="accent5"/>
          <w:left w:val="single" w:sz="8" w:space="0" w:color="77A2BB" w:themeColor="accent5"/>
          <w:bottom w:val="single" w:sz="8" w:space="0" w:color="77A2BB" w:themeColor="accent5"/>
          <w:right w:val="single" w:sz="8" w:space="0" w:color="77A2BB" w:themeColor="accent5"/>
        </w:tcBorders>
      </w:tcPr>
    </w:tblStylePr>
    <w:tblStylePr w:type="band1Vert">
      <w:tblPr/>
      <w:tcPr>
        <w:tcBorders>
          <w:top w:val="single" w:sz="8" w:space="0" w:color="77A2BB" w:themeColor="accent5"/>
          <w:left w:val="single" w:sz="8" w:space="0" w:color="77A2BB" w:themeColor="accent5"/>
          <w:bottom w:val="single" w:sz="8" w:space="0" w:color="77A2BB" w:themeColor="accent5"/>
          <w:right w:val="single" w:sz="8" w:space="0" w:color="77A2BB" w:themeColor="accent5"/>
        </w:tcBorders>
        <w:shd w:val="clear" w:color="auto" w:fill="DDE7EE" w:themeFill="accent5" w:themeFillTint="3F"/>
      </w:tcPr>
    </w:tblStylePr>
    <w:tblStylePr w:type="band1Horz">
      <w:tblPr/>
      <w:tcPr>
        <w:tcBorders>
          <w:top w:val="single" w:sz="8" w:space="0" w:color="77A2BB" w:themeColor="accent5"/>
          <w:left w:val="single" w:sz="8" w:space="0" w:color="77A2BB" w:themeColor="accent5"/>
          <w:bottom w:val="single" w:sz="8" w:space="0" w:color="77A2BB" w:themeColor="accent5"/>
          <w:right w:val="single" w:sz="8" w:space="0" w:color="77A2BB" w:themeColor="accent5"/>
          <w:insideV w:val="single" w:sz="8" w:space="0" w:color="77A2BB" w:themeColor="accent5"/>
        </w:tcBorders>
        <w:shd w:val="clear" w:color="auto" w:fill="DDE7EE" w:themeFill="accent5" w:themeFillTint="3F"/>
      </w:tcPr>
    </w:tblStylePr>
    <w:tblStylePr w:type="band2Horz">
      <w:tblPr/>
      <w:tcPr>
        <w:tcBorders>
          <w:top w:val="single" w:sz="8" w:space="0" w:color="77A2BB" w:themeColor="accent5"/>
          <w:left w:val="single" w:sz="8" w:space="0" w:color="77A2BB" w:themeColor="accent5"/>
          <w:bottom w:val="single" w:sz="8" w:space="0" w:color="77A2BB" w:themeColor="accent5"/>
          <w:right w:val="single" w:sz="8" w:space="0" w:color="77A2BB" w:themeColor="accent5"/>
          <w:insideV w:val="single" w:sz="8" w:space="0" w:color="77A2BB"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E28394" w:themeColor="accent6"/>
        <w:left w:val="single" w:sz="8" w:space="0" w:color="E28394" w:themeColor="accent6"/>
        <w:bottom w:val="single" w:sz="8" w:space="0" w:color="E28394" w:themeColor="accent6"/>
        <w:right w:val="single" w:sz="8" w:space="0" w:color="E28394" w:themeColor="accent6"/>
        <w:insideH w:val="single" w:sz="8" w:space="0" w:color="E28394" w:themeColor="accent6"/>
        <w:insideV w:val="single" w:sz="8" w:space="0" w:color="E2839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28394" w:themeColor="accent6"/>
          <w:left w:val="single" w:sz="8" w:space="0" w:color="E28394" w:themeColor="accent6"/>
          <w:bottom w:val="single" w:sz="18" w:space="0" w:color="E28394" w:themeColor="accent6"/>
          <w:right w:val="single" w:sz="8" w:space="0" w:color="E28394" w:themeColor="accent6"/>
          <w:insideH w:val="nil"/>
          <w:insideV w:val="single" w:sz="8" w:space="0" w:color="E2839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28394" w:themeColor="accent6"/>
          <w:left w:val="single" w:sz="8" w:space="0" w:color="E28394" w:themeColor="accent6"/>
          <w:bottom w:val="single" w:sz="8" w:space="0" w:color="E28394" w:themeColor="accent6"/>
          <w:right w:val="single" w:sz="8" w:space="0" w:color="E28394" w:themeColor="accent6"/>
          <w:insideH w:val="nil"/>
          <w:insideV w:val="single" w:sz="8" w:space="0" w:color="E2839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28394" w:themeColor="accent6"/>
          <w:left w:val="single" w:sz="8" w:space="0" w:color="E28394" w:themeColor="accent6"/>
          <w:bottom w:val="single" w:sz="8" w:space="0" w:color="E28394" w:themeColor="accent6"/>
          <w:right w:val="single" w:sz="8" w:space="0" w:color="E28394" w:themeColor="accent6"/>
        </w:tcBorders>
      </w:tcPr>
    </w:tblStylePr>
    <w:tblStylePr w:type="band1Vert">
      <w:tblPr/>
      <w:tcPr>
        <w:tcBorders>
          <w:top w:val="single" w:sz="8" w:space="0" w:color="E28394" w:themeColor="accent6"/>
          <w:left w:val="single" w:sz="8" w:space="0" w:color="E28394" w:themeColor="accent6"/>
          <w:bottom w:val="single" w:sz="8" w:space="0" w:color="E28394" w:themeColor="accent6"/>
          <w:right w:val="single" w:sz="8" w:space="0" w:color="E28394" w:themeColor="accent6"/>
        </w:tcBorders>
        <w:shd w:val="clear" w:color="auto" w:fill="F7E0E4" w:themeFill="accent6" w:themeFillTint="3F"/>
      </w:tcPr>
    </w:tblStylePr>
    <w:tblStylePr w:type="band1Horz">
      <w:tblPr/>
      <w:tcPr>
        <w:tcBorders>
          <w:top w:val="single" w:sz="8" w:space="0" w:color="E28394" w:themeColor="accent6"/>
          <w:left w:val="single" w:sz="8" w:space="0" w:color="E28394" w:themeColor="accent6"/>
          <w:bottom w:val="single" w:sz="8" w:space="0" w:color="E28394" w:themeColor="accent6"/>
          <w:right w:val="single" w:sz="8" w:space="0" w:color="E28394" w:themeColor="accent6"/>
          <w:insideV w:val="single" w:sz="8" w:space="0" w:color="E28394" w:themeColor="accent6"/>
        </w:tcBorders>
        <w:shd w:val="clear" w:color="auto" w:fill="F7E0E4" w:themeFill="accent6" w:themeFillTint="3F"/>
      </w:tcPr>
    </w:tblStylePr>
    <w:tblStylePr w:type="band2Horz">
      <w:tblPr/>
      <w:tcPr>
        <w:tcBorders>
          <w:top w:val="single" w:sz="8" w:space="0" w:color="E28394" w:themeColor="accent6"/>
          <w:left w:val="single" w:sz="8" w:space="0" w:color="E28394" w:themeColor="accent6"/>
          <w:bottom w:val="single" w:sz="8" w:space="0" w:color="E28394" w:themeColor="accent6"/>
          <w:right w:val="single" w:sz="8" w:space="0" w:color="E28394" w:themeColor="accent6"/>
          <w:insideV w:val="single" w:sz="8" w:space="0" w:color="E28394"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A8A9A4" w:themeColor="accent1" w:themeTint="BF"/>
        <w:left w:val="single" w:sz="8" w:space="0" w:color="A8A9A4" w:themeColor="accent1" w:themeTint="BF"/>
        <w:bottom w:val="single" w:sz="8" w:space="0" w:color="A8A9A4" w:themeColor="accent1" w:themeTint="BF"/>
        <w:right w:val="single" w:sz="8" w:space="0" w:color="A8A9A4" w:themeColor="accent1" w:themeTint="BF"/>
        <w:insideH w:val="single" w:sz="8" w:space="0" w:color="A8A9A4" w:themeColor="accent1" w:themeTint="BF"/>
      </w:tblBorders>
    </w:tblPr>
    <w:tblStylePr w:type="firstRow">
      <w:pPr>
        <w:spacing w:before="0" w:after="0" w:line="240" w:lineRule="auto"/>
      </w:pPr>
      <w:rPr>
        <w:b/>
        <w:bCs/>
        <w:color w:val="FFFFFF" w:themeColor="background1"/>
      </w:rPr>
      <w:tblPr/>
      <w:tcPr>
        <w:tcBorders>
          <w:top w:val="single" w:sz="8" w:space="0" w:color="A8A9A4" w:themeColor="accent1" w:themeTint="BF"/>
          <w:left w:val="single" w:sz="8" w:space="0" w:color="A8A9A4" w:themeColor="accent1" w:themeTint="BF"/>
          <w:bottom w:val="single" w:sz="8" w:space="0" w:color="A8A9A4" w:themeColor="accent1" w:themeTint="BF"/>
          <w:right w:val="single" w:sz="8" w:space="0" w:color="A8A9A4" w:themeColor="accent1" w:themeTint="BF"/>
          <w:insideH w:val="nil"/>
          <w:insideV w:val="nil"/>
        </w:tcBorders>
        <w:shd w:val="clear" w:color="auto" w:fill="8C8D86" w:themeFill="accent1"/>
      </w:tcPr>
    </w:tblStylePr>
    <w:tblStylePr w:type="lastRow">
      <w:pPr>
        <w:spacing w:before="0" w:after="0" w:line="240" w:lineRule="auto"/>
      </w:pPr>
      <w:rPr>
        <w:b/>
        <w:bCs/>
      </w:rPr>
      <w:tblPr/>
      <w:tcPr>
        <w:tcBorders>
          <w:top w:val="double" w:sz="6" w:space="0" w:color="A8A9A4" w:themeColor="accent1" w:themeTint="BF"/>
          <w:left w:val="single" w:sz="8" w:space="0" w:color="A8A9A4" w:themeColor="accent1" w:themeTint="BF"/>
          <w:bottom w:val="single" w:sz="8" w:space="0" w:color="A8A9A4" w:themeColor="accent1" w:themeTint="BF"/>
          <w:right w:val="single" w:sz="8" w:space="0" w:color="A8A9A4" w:themeColor="accent1" w:themeTint="BF"/>
          <w:insideH w:val="nil"/>
          <w:insideV w:val="nil"/>
        </w:tcBorders>
      </w:tcPr>
    </w:tblStylePr>
    <w:tblStylePr w:type="firstCol">
      <w:rPr>
        <w:b/>
        <w:bCs/>
      </w:rPr>
    </w:tblStylePr>
    <w:tblStylePr w:type="lastCol">
      <w:rPr>
        <w:b/>
        <w:bCs/>
      </w:rPr>
    </w:tblStylePr>
    <w:tblStylePr w:type="band1Vert">
      <w:tblPr/>
      <w:tcPr>
        <w:shd w:val="clear" w:color="auto" w:fill="E2E2E0" w:themeFill="accent1" w:themeFillTint="3F"/>
      </w:tcPr>
    </w:tblStylePr>
    <w:tblStylePr w:type="band1Horz">
      <w:tblPr/>
      <w:tcPr>
        <w:tcBorders>
          <w:insideH w:val="nil"/>
          <w:insideV w:val="nil"/>
        </w:tcBorders>
        <w:shd w:val="clear" w:color="auto" w:fill="E2E2E0"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ECCF8E" w:themeColor="accent2" w:themeTint="BF"/>
        <w:left w:val="single" w:sz="8" w:space="0" w:color="ECCF8E" w:themeColor="accent2" w:themeTint="BF"/>
        <w:bottom w:val="single" w:sz="8" w:space="0" w:color="ECCF8E" w:themeColor="accent2" w:themeTint="BF"/>
        <w:right w:val="single" w:sz="8" w:space="0" w:color="ECCF8E" w:themeColor="accent2" w:themeTint="BF"/>
        <w:insideH w:val="single" w:sz="8" w:space="0" w:color="ECCF8E" w:themeColor="accent2" w:themeTint="BF"/>
      </w:tblBorders>
    </w:tblPr>
    <w:tblStylePr w:type="firstRow">
      <w:pPr>
        <w:spacing w:before="0" w:after="0" w:line="240" w:lineRule="auto"/>
      </w:pPr>
      <w:rPr>
        <w:b/>
        <w:bCs/>
        <w:color w:val="FFFFFF" w:themeColor="background1"/>
      </w:rPr>
      <w:tblPr/>
      <w:tcPr>
        <w:tcBorders>
          <w:top w:val="single" w:sz="8" w:space="0" w:color="ECCF8E" w:themeColor="accent2" w:themeTint="BF"/>
          <w:left w:val="single" w:sz="8" w:space="0" w:color="ECCF8E" w:themeColor="accent2" w:themeTint="BF"/>
          <w:bottom w:val="single" w:sz="8" w:space="0" w:color="ECCF8E" w:themeColor="accent2" w:themeTint="BF"/>
          <w:right w:val="single" w:sz="8" w:space="0" w:color="ECCF8E" w:themeColor="accent2" w:themeTint="BF"/>
          <w:insideH w:val="nil"/>
          <w:insideV w:val="nil"/>
        </w:tcBorders>
        <w:shd w:val="clear" w:color="auto" w:fill="E6C069" w:themeFill="accent2"/>
      </w:tcPr>
    </w:tblStylePr>
    <w:tblStylePr w:type="lastRow">
      <w:pPr>
        <w:spacing w:before="0" w:after="0" w:line="240" w:lineRule="auto"/>
      </w:pPr>
      <w:rPr>
        <w:b/>
        <w:bCs/>
      </w:rPr>
      <w:tblPr/>
      <w:tcPr>
        <w:tcBorders>
          <w:top w:val="double" w:sz="6" w:space="0" w:color="ECCF8E" w:themeColor="accent2" w:themeTint="BF"/>
          <w:left w:val="single" w:sz="8" w:space="0" w:color="ECCF8E" w:themeColor="accent2" w:themeTint="BF"/>
          <w:bottom w:val="single" w:sz="8" w:space="0" w:color="ECCF8E" w:themeColor="accent2" w:themeTint="BF"/>
          <w:right w:val="single" w:sz="8" w:space="0" w:color="ECCF8E" w:themeColor="accent2" w:themeTint="BF"/>
          <w:insideH w:val="nil"/>
          <w:insideV w:val="nil"/>
        </w:tcBorders>
      </w:tcPr>
    </w:tblStylePr>
    <w:tblStylePr w:type="firstCol">
      <w:rPr>
        <w:b/>
        <w:bCs/>
      </w:rPr>
    </w:tblStylePr>
    <w:tblStylePr w:type="lastCol">
      <w:rPr>
        <w:b/>
        <w:bCs/>
      </w:rPr>
    </w:tblStylePr>
    <w:tblStylePr w:type="band1Vert">
      <w:tblPr/>
      <w:tcPr>
        <w:shd w:val="clear" w:color="auto" w:fill="F8EFD9" w:themeFill="accent2" w:themeFillTint="3F"/>
      </w:tcPr>
    </w:tblStylePr>
    <w:tblStylePr w:type="band1Horz">
      <w:tblPr/>
      <w:tcPr>
        <w:tcBorders>
          <w:insideH w:val="nil"/>
          <w:insideV w:val="nil"/>
        </w:tcBorders>
        <w:shd w:val="clear" w:color="auto" w:fill="F8EFD9"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A99C85" w:themeColor="accent3" w:themeTint="BF"/>
        <w:left w:val="single" w:sz="8" w:space="0" w:color="A99C85" w:themeColor="accent3" w:themeTint="BF"/>
        <w:bottom w:val="single" w:sz="8" w:space="0" w:color="A99C85" w:themeColor="accent3" w:themeTint="BF"/>
        <w:right w:val="single" w:sz="8" w:space="0" w:color="A99C85" w:themeColor="accent3" w:themeTint="BF"/>
        <w:insideH w:val="single" w:sz="8" w:space="0" w:color="A99C85" w:themeColor="accent3" w:themeTint="BF"/>
      </w:tblBorders>
    </w:tblPr>
    <w:tblStylePr w:type="firstRow">
      <w:pPr>
        <w:spacing w:before="0" w:after="0" w:line="240" w:lineRule="auto"/>
      </w:pPr>
      <w:rPr>
        <w:b/>
        <w:bCs/>
        <w:color w:val="FFFFFF" w:themeColor="background1"/>
      </w:rPr>
      <w:tblPr/>
      <w:tcPr>
        <w:tcBorders>
          <w:top w:val="single" w:sz="8" w:space="0" w:color="A99C85" w:themeColor="accent3" w:themeTint="BF"/>
          <w:left w:val="single" w:sz="8" w:space="0" w:color="A99C85" w:themeColor="accent3" w:themeTint="BF"/>
          <w:bottom w:val="single" w:sz="8" w:space="0" w:color="A99C85" w:themeColor="accent3" w:themeTint="BF"/>
          <w:right w:val="single" w:sz="8" w:space="0" w:color="A99C85" w:themeColor="accent3" w:themeTint="BF"/>
          <w:insideH w:val="nil"/>
          <w:insideV w:val="nil"/>
        </w:tcBorders>
        <w:shd w:val="clear" w:color="auto" w:fill="897B61" w:themeFill="accent3"/>
      </w:tcPr>
    </w:tblStylePr>
    <w:tblStylePr w:type="lastRow">
      <w:pPr>
        <w:spacing w:before="0" w:after="0" w:line="240" w:lineRule="auto"/>
      </w:pPr>
      <w:rPr>
        <w:b/>
        <w:bCs/>
      </w:rPr>
      <w:tblPr/>
      <w:tcPr>
        <w:tcBorders>
          <w:top w:val="double" w:sz="6" w:space="0" w:color="A99C85" w:themeColor="accent3" w:themeTint="BF"/>
          <w:left w:val="single" w:sz="8" w:space="0" w:color="A99C85" w:themeColor="accent3" w:themeTint="BF"/>
          <w:bottom w:val="single" w:sz="8" w:space="0" w:color="A99C85" w:themeColor="accent3" w:themeTint="BF"/>
          <w:right w:val="single" w:sz="8" w:space="0" w:color="A99C85" w:themeColor="accent3" w:themeTint="BF"/>
          <w:insideH w:val="nil"/>
          <w:insideV w:val="nil"/>
        </w:tcBorders>
      </w:tcPr>
    </w:tblStylePr>
    <w:tblStylePr w:type="firstCol">
      <w:rPr>
        <w:b/>
        <w:bCs/>
      </w:rPr>
    </w:tblStylePr>
    <w:tblStylePr w:type="lastCol">
      <w:rPr>
        <w:b/>
        <w:bCs/>
      </w:rPr>
    </w:tblStylePr>
    <w:tblStylePr w:type="band1Vert">
      <w:tblPr/>
      <w:tcPr>
        <w:shd w:val="clear" w:color="auto" w:fill="E2DED7" w:themeFill="accent3" w:themeFillTint="3F"/>
      </w:tcPr>
    </w:tblStylePr>
    <w:tblStylePr w:type="band1Horz">
      <w:tblPr/>
      <w:tcPr>
        <w:tcBorders>
          <w:insideH w:val="nil"/>
          <w:insideV w:val="nil"/>
        </w:tcBorders>
        <w:shd w:val="clear" w:color="auto" w:fill="E2DED7"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A9C0AA" w:themeColor="accent4" w:themeTint="BF"/>
        <w:left w:val="single" w:sz="8" w:space="0" w:color="A9C0AA" w:themeColor="accent4" w:themeTint="BF"/>
        <w:bottom w:val="single" w:sz="8" w:space="0" w:color="A9C0AA" w:themeColor="accent4" w:themeTint="BF"/>
        <w:right w:val="single" w:sz="8" w:space="0" w:color="A9C0AA" w:themeColor="accent4" w:themeTint="BF"/>
        <w:insideH w:val="single" w:sz="8" w:space="0" w:color="A9C0AA" w:themeColor="accent4" w:themeTint="BF"/>
      </w:tblBorders>
    </w:tblPr>
    <w:tblStylePr w:type="firstRow">
      <w:pPr>
        <w:spacing w:before="0" w:after="0" w:line="240" w:lineRule="auto"/>
      </w:pPr>
      <w:rPr>
        <w:b/>
        <w:bCs/>
        <w:color w:val="FFFFFF" w:themeColor="background1"/>
      </w:rPr>
      <w:tblPr/>
      <w:tcPr>
        <w:tcBorders>
          <w:top w:val="single" w:sz="8" w:space="0" w:color="A9C0AA" w:themeColor="accent4" w:themeTint="BF"/>
          <w:left w:val="single" w:sz="8" w:space="0" w:color="A9C0AA" w:themeColor="accent4" w:themeTint="BF"/>
          <w:bottom w:val="single" w:sz="8" w:space="0" w:color="A9C0AA" w:themeColor="accent4" w:themeTint="BF"/>
          <w:right w:val="single" w:sz="8" w:space="0" w:color="A9C0AA" w:themeColor="accent4" w:themeTint="BF"/>
          <w:insideH w:val="nil"/>
          <w:insideV w:val="nil"/>
        </w:tcBorders>
        <w:shd w:val="clear" w:color="auto" w:fill="8DAB8E" w:themeFill="accent4"/>
      </w:tcPr>
    </w:tblStylePr>
    <w:tblStylePr w:type="lastRow">
      <w:pPr>
        <w:spacing w:before="0" w:after="0" w:line="240" w:lineRule="auto"/>
      </w:pPr>
      <w:rPr>
        <w:b/>
        <w:bCs/>
      </w:rPr>
      <w:tblPr/>
      <w:tcPr>
        <w:tcBorders>
          <w:top w:val="double" w:sz="6" w:space="0" w:color="A9C0AA" w:themeColor="accent4" w:themeTint="BF"/>
          <w:left w:val="single" w:sz="8" w:space="0" w:color="A9C0AA" w:themeColor="accent4" w:themeTint="BF"/>
          <w:bottom w:val="single" w:sz="8" w:space="0" w:color="A9C0AA" w:themeColor="accent4" w:themeTint="BF"/>
          <w:right w:val="single" w:sz="8" w:space="0" w:color="A9C0AA" w:themeColor="accent4" w:themeTint="BF"/>
          <w:insideH w:val="nil"/>
          <w:insideV w:val="nil"/>
        </w:tcBorders>
      </w:tcPr>
    </w:tblStylePr>
    <w:tblStylePr w:type="firstCol">
      <w:rPr>
        <w:b/>
        <w:bCs/>
      </w:rPr>
    </w:tblStylePr>
    <w:tblStylePr w:type="lastCol">
      <w:rPr>
        <w:b/>
        <w:bCs/>
      </w:rPr>
    </w:tblStylePr>
    <w:tblStylePr w:type="band1Vert">
      <w:tblPr/>
      <w:tcPr>
        <w:shd w:val="clear" w:color="auto" w:fill="E2EAE2" w:themeFill="accent4" w:themeFillTint="3F"/>
      </w:tcPr>
    </w:tblStylePr>
    <w:tblStylePr w:type="band1Horz">
      <w:tblPr/>
      <w:tcPr>
        <w:tcBorders>
          <w:insideH w:val="nil"/>
          <w:insideV w:val="nil"/>
        </w:tcBorders>
        <w:shd w:val="clear" w:color="auto" w:fill="E2EAE2"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99B9CC" w:themeColor="accent5" w:themeTint="BF"/>
        <w:left w:val="single" w:sz="8" w:space="0" w:color="99B9CC" w:themeColor="accent5" w:themeTint="BF"/>
        <w:bottom w:val="single" w:sz="8" w:space="0" w:color="99B9CC" w:themeColor="accent5" w:themeTint="BF"/>
        <w:right w:val="single" w:sz="8" w:space="0" w:color="99B9CC" w:themeColor="accent5" w:themeTint="BF"/>
        <w:insideH w:val="single" w:sz="8" w:space="0" w:color="99B9CC" w:themeColor="accent5" w:themeTint="BF"/>
      </w:tblBorders>
    </w:tblPr>
    <w:tblStylePr w:type="firstRow">
      <w:pPr>
        <w:spacing w:before="0" w:after="0" w:line="240" w:lineRule="auto"/>
      </w:pPr>
      <w:rPr>
        <w:b/>
        <w:bCs/>
        <w:color w:val="FFFFFF" w:themeColor="background1"/>
      </w:rPr>
      <w:tblPr/>
      <w:tcPr>
        <w:tcBorders>
          <w:top w:val="single" w:sz="8" w:space="0" w:color="99B9CC" w:themeColor="accent5" w:themeTint="BF"/>
          <w:left w:val="single" w:sz="8" w:space="0" w:color="99B9CC" w:themeColor="accent5" w:themeTint="BF"/>
          <w:bottom w:val="single" w:sz="8" w:space="0" w:color="99B9CC" w:themeColor="accent5" w:themeTint="BF"/>
          <w:right w:val="single" w:sz="8" w:space="0" w:color="99B9CC" w:themeColor="accent5" w:themeTint="BF"/>
          <w:insideH w:val="nil"/>
          <w:insideV w:val="nil"/>
        </w:tcBorders>
        <w:shd w:val="clear" w:color="auto" w:fill="77A2BB" w:themeFill="accent5"/>
      </w:tcPr>
    </w:tblStylePr>
    <w:tblStylePr w:type="lastRow">
      <w:pPr>
        <w:spacing w:before="0" w:after="0" w:line="240" w:lineRule="auto"/>
      </w:pPr>
      <w:rPr>
        <w:b/>
        <w:bCs/>
      </w:rPr>
      <w:tblPr/>
      <w:tcPr>
        <w:tcBorders>
          <w:top w:val="double" w:sz="6" w:space="0" w:color="99B9CC" w:themeColor="accent5" w:themeTint="BF"/>
          <w:left w:val="single" w:sz="8" w:space="0" w:color="99B9CC" w:themeColor="accent5" w:themeTint="BF"/>
          <w:bottom w:val="single" w:sz="8" w:space="0" w:color="99B9CC" w:themeColor="accent5" w:themeTint="BF"/>
          <w:right w:val="single" w:sz="8" w:space="0" w:color="99B9CC"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E7EE" w:themeFill="accent5" w:themeFillTint="3F"/>
      </w:tcPr>
    </w:tblStylePr>
    <w:tblStylePr w:type="band1Horz">
      <w:tblPr/>
      <w:tcPr>
        <w:tcBorders>
          <w:insideH w:val="nil"/>
          <w:insideV w:val="nil"/>
        </w:tcBorders>
        <w:shd w:val="clear" w:color="auto" w:fill="DDE7EE"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E9A2AE" w:themeColor="accent6" w:themeTint="BF"/>
        <w:left w:val="single" w:sz="8" w:space="0" w:color="E9A2AE" w:themeColor="accent6" w:themeTint="BF"/>
        <w:bottom w:val="single" w:sz="8" w:space="0" w:color="E9A2AE" w:themeColor="accent6" w:themeTint="BF"/>
        <w:right w:val="single" w:sz="8" w:space="0" w:color="E9A2AE" w:themeColor="accent6" w:themeTint="BF"/>
        <w:insideH w:val="single" w:sz="8" w:space="0" w:color="E9A2AE" w:themeColor="accent6" w:themeTint="BF"/>
      </w:tblBorders>
    </w:tblPr>
    <w:tblStylePr w:type="firstRow">
      <w:pPr>
        <w:spacing w:before="0" w:after="0" w:line="240" w:lineRule="auto"/>
      </w:pPr>
      <w:rPr>
        <w:b/>
        <w:bCs/>
        <w:color w:val="FFFFFF" w:themeColor="background1"/>
      </w:rPr>
      <w:tblPr/>
      <w:tcPr>
        <w:tcBorders>
          <w:top w:val="single" w:sz="8" w:space="0" w:color="E9A2AE" w:themeColor="accent6" w:themeTint="BF"/>
          <w:left w:val="single" w:sz="8" w:space="0" w:color="E9A2AE" w:themeColor="accent6" w:themeTint="BF"/>
          <w:bottom w:val="single" w:sz="8" w:space="0" w:color="E9A2AE" w:themeColor="accent6" w:themeTint="BF"/>
          <w:right w:val="single" w:sz="8" w:space="0" w:color="E9A2AE" w:themeColor="accent6" w:themeTint="BF"/>
          <w:insideH w:val="nil"/>
          <w:insideV w:val="nil"/>
        </w:tcBorders>
        <w:shd w:val="clear" w:color="auto" w:fill="E28394" w:themeFill="accent6"/>
      </w:tcPr>
    </w:tblStylePr>
    <w:tblStylePr w:type="lastRow">
      <w:pPr>
        <w:spacing w:before="0" w:after="0" w:line="240" w:lineRule="auto"/>
      </w:pPr>
      <w:rPr>
        <w:b/>
        <w:bCs/>
      </w:rPr>
      <w:tblPr/>
      <w:tcPr>
        <w:tcBorders>
          <w:top w:val="double" w:sz="6" w:space="0" w:color="E9A2AE" w:themeColor="accent6" w:themeTint="BF"/>
          <w:left w:val="single" w:sz="8" w:space="0" w:color="E9A2AE" w:themeColor="accent6" w:themeTint="BF"/>
          <w:bottom w:val="single" w:sz="8" w:space="0" w:color="E9A2AE" w:themeColor="accent6" w:themeTint="BF"/>
          <w:right w:val="single" w:sz="8" w:space="0" w:color="E9A2AE"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E0E4" w:themeFill="accent6" w:themeFillTint="3F"/>
      </w:tcPr>
    </w:tblStylePr>
    <w:tblStylePr w:type="band1Horz">
      <w:tblPr/>
      <w:tcPr>
        <w:tcBorders>
          <w:insideH w:val="nil"/>
          <w:insideV w:val="nil"/>
        </w:tcBorders>
        <w:shd w:val="clear" w:color="auto" w:fill="F7E0E4"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C8D8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C8D86" w:themeFill="accent1"/>
      </w:tcPr>
    </w:tblStylePr>
    <w:tblStylePr w:type="lastCol">
      <w:rPr>
        <w:b/>
        <w:bCs/>
        <w:color w:val="FFFFFF" w:themeColor="background1"/>
      </w:rPr>
      <w:tblPr/>
      <w:tcPr>
        <w:tcBorders>
          <w:left w:val="nil"/>
          <w:right w:val="nil"/>
          <w:insideH w:val="nil"/>
          <w:insideV w:val="nil"/>
        </w:tcBorders>
        <w:shd w:val="clear" w:color="auto" w:fill="8C8D8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6C06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C069" w:themeFill="accent2"/>
      </w:tcPr>
    </w:tblStylePr>
    <w:tblStylePr w:type="lastCol">
      <w:rPr>
        <w:b/>
        <w:bCs/>
        <w:color w:val="FFFFFF" w:themeColor="background1"/>
      </w:rPr>
      <w:tblPr/>
      <w:tcPr>
        <w:tcBorders>
          <w:left w:val="nil"/>
          <w:right w:val="nil"/>
          <w:insideH w:val="nil"/>
          <w:insideV w:val="nil"/>
        </w:tcBorders>
        <w:shd w:val="clear" w:color="auto" w:fill="E6C06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97B61"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97B61" w:themeFill="accent3"/>
      </w:tcPr>
    </w:tblStylePr>
    <w:tblStylePr w:type="lastCol">
      <w:rPr>
        <w:b/>
        <w:bCs/>
        <w:color w:val="FFFFFF" w:themeColor="background1"/>
      </w:rPr>
      <w:tblPr/>
      <w:tcPr>
        <w:tcBorders>
          <w:left w:val="nil"/>
          <w:right w:val="nil"/>
          <w:insideH w:val="nil"/>
          <w:insideV w:val="nil"/>
        </w:tcBorders>
        <w:shd w:val="clear" w:color="auto" w:fill="897B6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DAB8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DAB8E" w:themeFill="accent4"/>
      </w:tcPr>
    </w:tblStylePr>
    <w:tblStylePr w:type="lastCol">
      <w:rPr>
        <w:b/>
        <w:bCs/>
        <w:color w:val="FFFFFF" w:themeColor="background1"/>
      </w:rPr>
      <w:tblPr/>
      <w:tcPr>
        <w:tcBorders>
          <w:left w:val="nil"/>
          <w:right w:val="nil"/>
          <w:insideH w:val="nil"/>
          <w:insideV w:val="nil"/>
        </w:tcBorders>
        <w:shd w:val="clear" w:color="auto" w:fill="8DAB8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7A2B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7A2BB" w:themeFill="accent5"/>
      </w:tcPr>
    </w:tblStylePr>
    <w:tblStylePr w:type="lastCol">
      <w:rPr>
        <w:b/>
        <w:bCs/>
        <w:color w:val="FFFFFF" w:themeColor="background1"/>
      </w:rPr>
      <w:tblPr/>
      <w:tcPr>
        <w:tcBorders>
          <w:left w:val="nil"/>
          <w:right w:val="nil"/>
          <w:insideH w:val="nil"/>
          <w:insideV w:val="nil"/>
        </w:tcBorders>
        <w:shd w:val="clear" w:color="auto" w:fill="77A2B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2839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28394" w:themeFill="accent6"/>
      </w:tcPr>
    </w:tblStylePr>
    <w:tblStylePr w:type="lastCol">
      <w:rPr>
        <w:b/>
        <w:bCs/>
        <w:color w:val="FFFFFF" w:themeColor="background1"/>
      </w:rPr>
      <w:tblPr/>
      <w:tcPr>
        <w:tcBorders>
          <w:left w:val="nil"/>
          <w:right w:val="nil"/>
          <w:insideH w:val="nil"/>
          <w:insideV w:val="nil"/>
        </w:tcBorders>
        <w:shd w:val="clear" w:color="auto" w:fill="E2839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91B0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8C8D86" w:themeColor="accent1"/>
        <w:bottom w:val="single" w:sz="8" w:space="0" w:color="8C8D86" w:themeColor="accent1"/>
      </w:tblBorders>
    </w:tblPr>
    <w:tblStylePr w:type="firstRow">
      <w:rPr>
        <w:rFonts w:asciiTheme="majorHAnsi" w:eastAsiaTheme="majorEastAsia" w:hAnsiTheme="majorHAnsi" w:cstheme="majorBidi"/>
      </w:rPr>
      <w:tblPr/>
      <w:tcPr>
        <w:tcBorders>
          <w:top w:val="nil"/>
          <w:bottom w:val="single" w:sz="8" w:space="0" w:color="8C8D86" w:themeColor="accent1"/>
        </w:tcBorders>
      </w:tcPr>
    </w:tblStylePr>
    <w:tblStylePr w:type="lastRow">
      <w:rPr>
        <w:b/>
        <w:bCs/>
        <w:color w:val="191B0E" w:themeColor="text2"/>
      </w:rPr>
      <w:tblPr/>
      <w:tcPr>
        <w:tcBorders>
          <w:top w:val="single" w:sz="8" w:space="0" w:color="8C8D86" w:themeColor="accent1"/>
          <w:bottom w:val="single" w:sz="8" w:space="0" w:color="8C8D86" w:themeColor="accent1"/>
        </w:tcBorders>
      </w:tcPr>
    </w:tblStylePr>
    <w:tblStylePr w:type="firstCol">
      <w:rPr>
        <w:b/>
        <w:bCs/>
      </w:rPr>
    </w:tblStylePr>
    <w:tblStylePr w:type="lastCol">
      <w:rPr>
        <w:b/>
        <w:bCs/>
      </w:rPr>
      <w:tblPr/>
      <w:tcPr>
        <w:tcBorders>
          <w:top w:val="single" w:sz="8" w:space="0" w:color="8C8D86" w:themeColor="accent1"/>
          <w:bottom w:val="single" w:sz="8" w:space="0" w:color="8C8D86" w:themeColor="accent1"/>
        </w:tcBorders>
      </w:tcPr>
    </w:tblStylePr>
    <w:tblStylePr w:type="band1Vert">
      <w:tblPr/>
      <w:tcPr>
        <w:shd w:val="clear" w:color="auto" w:fill="E2E2E0" w:themeFill="accent1" w:themeFillTint="3F"/>
      </w:tcPr>
    </w:tblStylePr>
    <w:tblStylePr w:type="band1Horz">
      <w:tblPr/>
      <w:tcPr>
        <w:shd w:val="clear" w:color="auto" w:fill="E2E2E0"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E6C069" w:themeColor="accent2"/>
        <w:bottom w:val="single" w:sz="8" w:space="0" w:color="E6C069" w:themeColor="accent2"/>
      </w:tblBorders>
    </w:tblPr>
    <w:tblStylePr w:type="firstRow">
      <w:rPr>
        <w:rFonts w:asciiTheme="majorHAnsi" w:eastAsiaTheme="majorEastAsia" w:hAnsiTheme="majorHAnsi" w:cstheme="majorBidi"/>
      </w:rPr>
      <w:tblPr/>
      <w:tcPr>
        <w:tcBorders>
          <w:top w:val="nil"/>
          <w:bottom w:val="single" w:sz="8" w:space="0" w:color="E6C069" w:themeColor="accent2"/>
        </w:tcBorders>
      </w:tcPr>
    </w:tblStylePr>
    <w:tblStylePr w:type="lastRow">
      <w:rPr>
        <w:b/>
        <w:bCs/>
        <w:color w:val="191B0E" w:themeColor="text2"/>
      </w:rPr>
      <w:tblPr/>
      <w:tcPr>
        <w:tcBorders>
          <w:top w:val="single" w:sz="8" w:space="0" w:color="E6C069" w:themeColor="accent2"/>
          <w:bottom w:val="single" w:sz="8" w:space="0" w:color="E6C069" w:themeColor="accent2"/>
        </w:tcBorders>
      </w:tcPr>
    </w:tblStylePr>
    <w:tblStylePr w:type="firstCol">
      <w:rPr>
        <w:b/>
        <w:bCs/>
      </w:rPr>
    </w:tblStylePr>
    <w:tblStylePr w:type="lastCol">
      <w:rPr>
        <w:b/>
        <w:bCs/>
      </w:rPr>
      <w:tblPr/>
      <w:tcPr>
        <w:tcBorders>
          <w:top w:val="single" w:sz="8" w:space="0" w:color="E6C069" w:themeColor="accent2"/>
          <w:bottom w:val="single" w:sz="8" w:space="0" w:color="E6C069" w:themeColor="accent2"/>
        </w:tcBorders>
      </w:tcPr>
    </w:tblStylePr>
    <w:tblStylePr w:type="band1Vert">
      <w:tblPr/>
      <w:tcPr>
        <w:shd w:val="clear" w:color="auto" w:fill="F8EFD9" w:themeFill="accent2" w:themeFillTint="3F"/>
      </w:tcPr>
    </w:tblStylePr>
    <w:tblStylePr w:type="band1Horz">
      <w:tblPr/>
      <w:tcPr>
        <w:shd w:val="clear" w:color="auto" w:fill="F8EFD9"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897B61" w:themeColor="accent3"/>
        <w:bottom w:val="single" w:sz="8" w:space="0" w:color="897B61" w:themeColor="accent3"/>
      </w:tblBorders>
    </w:tblPr>
    <w:tblStylePr w:type="firstRow">
      <w:rPr>
        <w:rFonts w:asciiTheme="majorHAnsi" w:eastAsiaTheme="majorEastAsia" w:hAnsiTheme="majorHAnsi" w:cstheme="majorBidi"/>
      </w:rPr>
      <w:tblPr/>
      <w:tcPr>
        <w:tcBorders>
          <w:top w:val="nil"/>
          <w:bottom w:val="single" w:sz="8" w:space="0" w:color="897B61" w:themeColor="accent3"/>
        </w:tcBorders>
      </w:tcPr>
    </w:tblStylePr>
    <w:tblStylePr w:type="lastRow">
      <w:rPr>
        <w:b/>
        <w:bCs/>
        <w:color w:val="191B0E" w:themeColor="text2"/>
      </w:rPr>
      <w:tblPr/>
      <w:tcPr>
        <w:tcBorders>
          <w:top w:val="single" w:sz="8" w:space="0" w:color="897B61" w:themeColor="accent3"/>
          <w:bottom w:val="single" w:sz="8" w:space="0" w:color="897B61" w:themeColor="accent3"/>
        </w:tcBorders>
      </w:tcPr>
    </w:tblStylePr>
    <w:tblStylePr w:type="firstCol">
      <w:rPr>
        <w:b/>
        <w:bCs/>
      </w:rPr>
    </w:tblStylePr>
    <w:tblStylePr w:type="lastCol">
      <w:rPr>
        <w:b/>
        <w:bCs/>
      </w:rPr>
      <w:tblPr/>
      <w:tcPr>
        <w:tcBorders>
          <w:top w:val="single" w:sz="8" w:space="0" w:color="897B61" w:themeColor="accent3"/>
          <w:bottom w:val="single" w:sz="8" w:space="0" w:color="897B61" w:themeColor="accent3"/>
        </w:tcBorders>
      </w:tcPr>
    </w:tblStylePr>
    <w:tblStylePr w:type="band1Vert">
      <w:tblPr/>
      <w:tcPr>
        <w:shd w:val="clear" w:color="auto" w:fill="E2DED7" w:themeFill="accent3" w:themeFillTint="3F"/>
      </w:tcPr>
    </w:tblStylePr>
    <w:tblStylePr w:type="band1Horz">
      <w:tblPr/>
      <w:tcPr>
        <w:shd w:val="clear" w:color="auto" w:fill="E2DED7"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DAB8E" w:themeColor="accent4"/>
        <w:bottom w:val="single" w:sz="8" w:space="0" w:color="8DAB8E" w:themeColor="accent4"/>
      </w:tblBorders>
    </w:tblPr>
    <w:tblStylePr w:type="firstRow">
      <w:rPr>
        <w:rFonts w:asciiTheme="majorHAnsi" w:eastAsiaTheme="majorEastAsia" w:hAnsiTheme="majorHAnsi" w:cstheme="majorBidi"/>
      </w:rPr>
      <w:tblPr/>
      <w:tcPr>
        <w:tcBorders>
          <w:top w:val="nil"/>
          <w:bottom w:val="single" w:sz="8" w:space="0" w:color="8DAB8E" w:themeColor="accent4"/>
        </w:tcBorders>
      </w:tcPr>
    </w:tblStylePr>
    <w:tblStylePr w:type="lastRow">
      <w:rPr>
        <w:b/>
        <w:bCs/>
        <w:color w:val="191B0E" w:themeColor="text2"/>
      </w:rPr>
      <w:tblPr/>
      <w:tcPr>
        <w:tcBorders>
          <w:top w:val="single" w:sz="8" w:space="0" w:color="8DAB8E" w:themeColor="accent4"/>
          <w:bottom w:val="single" w:sz="8" w:space="0" w:color="8DAB8E" w:themeColor="accent4"/>
        </w:tcBorders>
      </w:tcPr>
    </w:tblStylePr>
    <w:tblStylePr w:type="firstCol">
      <w:rPr>
        <w:b/>
        <w:bCs/>
      </w:rPr>
    </w:tblStylePr>
    <w:tblStylePr w:type="lastCol">
      <w:rPr>
        <w:b/>
        <w:bCs/>
      </w:rPr>
      <w:tblPr/>
      <w:tcPr>
        <w:tcBorders>
          <w:top w:val="single" w:sz="8" w:space="0" w:color="8DAB8E" w:themeColor="accent4"/>
          <w:bottom w:val="single" w:sz="8" w:space="0" w:color="8DAB8E" w:themeColor="accent4"/>
        </w:tcBorders>
      </w:tcPr>
    </w:tblStylePr>
    <w:tblStylePr w:type="band1Vert">
      <w:tblPr/>
      <w:tcPr>
        <w:shd w:val="clear" w:color="auto" w:fill="E2EAE2" w:themeFill="accent4" w:themeFillTint="3F"/>
      </w:tcPr>
    </w:tblStylePr>
    <w:tblStylePr w:type="band1Horz">
      <w:tblPr/>
      <w:tcPr>
        <w:shd w:val="clear" w:color="auto" w:fill="E2EAE2"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77A2BB" w:themeColor="accent5"/>
        <w:bottom w:val="single" w:sz="8" w:space="0" w:color="77A2BB" w:themeColor="accent5"/>
      </w:tblBorders>
    </w:tblPr>
    <w:tblStylePr w:type="firstRow">
      <w:rPr>
        <w:rFonts w:asciiTheme="majorHAnsi" w:eastAsiaTheme="majorEastAsia" w:hAnsiTheme="majorHAnsi" w:cstheme="majorBidi"/>
      </w:rPr>
      <w:tblPr/>
      <w:tcPr>
        <w:tcBorders>
          <w:top w:val="nil"/>
          <w:bottom w:val="single" w:sz="8" w:space="0" w:color="77A2BB" w:themeColor="accent5"/>
        </w:tcBorders>
      </w:tcPr>
    </w:tblStylePr>
    <w:tblStylePr w:type="lastRow">
      <w:rPr>
        <w:b/>
        <w:bCs/>
        <w:color w:val="191B0E" w:themeColor="text2"/>
      </w:rPr>
      <w:tblPr/>
      <w:tcPr>
        <w:tcBorders>
          <w:top w:val="single" w:sz="8" w:space="0" w:color="77A2BB" w:themeColor="accent5"/>
          <w:bottom w:val="single" w:sz="8" w:space="0" w:color="77A2BB" w:themeColor="accent5"/>
        </w:tcBorders>
      </w:tcPr>
    </w:tblStylePr>
    <w:tblStylePr w:type="firstCol">
      <w:rPr>
        <w:b/>
        <w:bCs/>
      </w:rPr>
    </w:tblStylePr>
    <w:tblStylePr w:type="lastCol">
      <w:rPr>
        <w:b/>
        <w:bCs/>
      </w:rPr>
      <w:tblPr/>
      <w:tcPr>
        <w:tcBorders>
          <w:top w:val="single" w:sz="8" w:space="0" w:color="77A2BB" w:themeColor="accent5"/>
          <w:bottom w:val="single" w:sz="8" w:space="0" w:color="77A2BB" w:themeColor="accent5"/>
        </w:tcBorders>
      </w:tcPr>
    </w:tblStylePr>
    <w:tblStylePr w:type="band1Vert">
      <w:tblPr/>
      <w:tcPr>
        <w:shd w:val="clear" w:color="auto" w:fill="DDE7EE" w:themeFill="accent5" w:themeFillTint="3F"/>
      </w:tcPr>
    </w:tblStylePr>
    <w:tblStylePr w:type="band1Horz">
      <w:tblPr/>
      <w:tcPr>
        <w:shd w:val="clear" w:color="auto" w:fill="DDE7EE"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E28394" w:themeColor="accent6"/>
        <w:bottom w:val="single" w:sz="8" w:space="0" w:color="E28394" w:themeColor="accent6"/>
      </w:tblBorders>
    </w:tblPr>
    <w:tblStylePr w:type="firstRow">
      <w:rPr>
        <w:rFonts w:asciiTheme="majorHAnsi" w:eastAsiaTheme="majorEastAsia" w:hAnsiTheme="majorHAnsi" w:cstheme="majorBidi"/>
      </w:rPr>
      <w:tblPr/>
      <w:tcPr>
        <w:tcBorders>
          <w:top w:val="nil"/>
          <w:bottom w:val="single" w:sz="8" w:space="0" w:color="E28394" w:themeColor="accent6"/>
        </w:tcBorders>
      </w:tcPr>
    </w:tblStylePr>
    <w:tblStylePr w:type="lastRow">
      <w:rPr>
        <w:b/>
        <w:bCs/>
        <w:color w:val="191B0E" w:themeColor="text2"/>
      </w:rPr>
      <w:tblPr/>
      <w:tcPr>
        <w:tcBorders>
          <w:top w:val="single" w:sz="8" w:space="0" w:color="E28394" w:themeColor="accent6"/>
          <w:bottom w:val="single" w:sz="8" w:space="0" w:color="E28394" w:themeColor="accent6"/>
        </w:tcBorders>
      </w:tcPr>
    </w:tblStylePr>
    <w:tblStylePr w:type="firstCol">
      <w:rPr>
        <w:b/>
        <w:bCs/>
      </w:rPr>
    </w:tblStylePr>
    <w:tblStylePr w:type="lastCol">
      <w:rPr>
        <w:b/>
        <w:bCs/>
      </w:rPr>
      <w:tblPr/>
      <w:tcPr>
        <w:tcBorders>
          <w:top w:val="single" w:sz="8" w:space="0" w:color="E28394" w:themeColor="accent6"/>
          <w:bottom w:val="single" w:sz="8" w:space="0" w:color="E28394" w:themeColor="accent6"/>
        </w:tcBorders>
      </w:tcPr>
    </w:tblStylePr>
    <w:tblStylePr w:type="band1Vert">
      <w:tblPr/>
      <w:tcPr>
        <w:shd w:val="clear" w:color="auto" w:fill="F7E0E4" w:themeFill="accent6" w:themeFillTint="3F"/>
      </w:tcPr>
    </w:tblStylePr>
    <w:tblStylePr w:type="band1Horz">
      <w:tblPr/>
      <w:tcPr>
        <w:shd w:val="clear" w:color="auto" w:fill="F7E0E4"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C8D86" w:themeColor="accent1"/>
        <w:left w:val="single" w:sz="8" w:space="0" w:color="8C8D86" w:themeColor="accent1"/>
        <w:bottom w:val="single" w:sz="8" w:space="0" w:color="8C8D86" w:themeColor="accent1"/>
        <w:right w:val="single" w:sz="8" w:space="0" w:color="8C8D86" w:themeColor="accent1"/>
      </w:tblBorders>
    </w:tblPr>
    <w:tblStylePr w:type="firstRow">
      <w:rPr>
        <w:sz w:val="24"/>
        <w:szCs w:val="24"/>
      </w:rPr>
      <w:tblPr/>
      <w:tcPr>
        <w:tcBorders>
          <w:top w:val="nil"/>
          <w:left w:val="nil"/>
          <w:bottom w:val="single" w:sz="24" w:space="0" w:color="8C8D86" w:themeColor="accent1"/>
          <w:right w:val="nil"/>
          <w:insideH w:val="nil"/>
          <w:insideV w:val="nil"/>
        </w:tcBorders>
        <w:shd w:val="clear" w:color="auto" w:fill="FFFFFF" w:themeFill="background1"/>
      </w:tcPr>
    </w:tblStylePr>
    <w:tblStylePr w:type="lastRow">
      <w:tblPr/>
      <w:tcPr>
        <w:tcBorders>
          <w:top w:val="single" w:sz="8" w:space="0" w:color="8C8D86"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C8D86" w:themeColor="accent1"/>
          <w:insideH w:val="nil"/>
          <w:insideV w:val="nil"/>
        </w:tcBorders>
        <w:shd w:val="clear" w:color="auto" w:fill="FFFFFF" w:themeFill="background1"/>
      </w:tcPr>
    </w:tblStylePr>
    <w:tblStylePr w:type="lastCol">
      <w:tblPr/>
      <w:tcPr>
        <w:tcBorders>
          <w:top w:val="nil"/>
          <w:left w:val="single" w:sz="8" w:space="0" w:color="8C8D8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E2E0" w:themeFill="accent1" w:themeFillTint="3F"/>
      </w:tcPr>
    </w:tblStylePr>
    <w:tblStylePr w:type="band1Horz">
      <w:tblPr/>
      <w:tcPr>
        <w:tcBorders>
          <w:top w:val="nil"/>
          <w:bottom w:val="nil"/>
          <w:insideH w:val="nil"/>
          <w:insideV w:val="nil"/>
        </w:tcBorders>
        <w:shd w:val="clear" w:color="auto" w:fill="E2E2E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6C069" w:themeColor="accent2"/>
        <w:left w:val="single" w:sz="8" w:space="0" w:color="E6C069" w:themeColor="accent2"/>
        <w:bottom w:val="single" w:sz="8" w:space="0" w:color="E6C069" w:themeColor="accent2"/>
        <w:right w:val="single" w:sz="8" w:space="0" w:color="E6C069" w:themeColor="accent2"/>
      </w:tblBorders>
    </w:tblPr>
    <w:tblStylePr w:type="firstRow">
      <w:rPr>
        <w:sz w:val="24"/>
        <w:szCs w:val="24"/>
      </w:rPr>
      <w:tblPr/>
      <w:tcPr>
        <w:tcBorders>
          <w:top w:val="nil"/>
          <w:left w:val="nil"/>
          <w:bottom w:val="single" w:sz="24" w:space="0" w:color="E6C069" w:themeColor="accent2"/>
          <w:right w:val="nil"/>
          <w:insideH w:val="nil"/>
          <w:insideV w:val="nil"/>
        </w:tcBorders>
        <w:shd w:val="clear" w:color="auto" w:fill="FFFFFF" w:themeFill="background1"/>
      </w:tcPr>
    </w:tblStylePr>
    <w:tblStylePr w:type="lastRow">
      <w:tblPr/>
      <w:tcPr>
        <w:tcBorders>
          <w:top w:val="single" w:sz="8" w:space="0" w:color="E6C06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C069" w:themeColor="accent2"/>
          <w:insideH w:val="nil"/>
          <w:insideV w:val="nil"/>
        </w:tcBorders>
        <w:shd w:val="clear" w:color="auto" w:fill="FFFFFF" w:themeFill="background1"/>
      </w:tcPr>
    </w:tblStylePr>
    <w:tblStylePr w:type="lastCol">
      <w:tblPr/>
      <w:tcPr>
        <w:tcBorders>
          <w:top w:val="nil"/>
          <w:left w:val="single" w:sz="8" w:space="0" w:color="E6C06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EFD9" w:themeFill="accent2" w:themeFillTint="3F"/>
      </w:tcPr>
    </w:tblStylePr>
    <w:tblStylePr w:type="band1Horz">
      <w:tblPr/>
      <w:tcPr>
        <w:tcBorders>
          <w:top w:val="nil"/>
          <w:bottom w:val="nil"/>
          <w:insideH w:val="nil"/>
          <w:insideV w:val="nil"/>
        </w:tcBorders>
        <w:shd w:val="clear" w:color="auto" w:fill="F8EFD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97B61" w:themeColor="accent3"/>
        <w:left w:val="single" w:sz="8" w:space="0" w:color="897B61" w:themeColor="accent3"/>
        <w:bottom w:val="single" w:sz="8" w:space="0" w:color="897B61" w:themeColor="accent3"/>
        <w:right w:val="single" w:sz="8" w:space="0" w:color="897B61" w:themeColor="accent3"/>
      </w:tblBorders>
    </w:tblPr>
    <w:tblStylePr w:type="firstRow">
      <w:rPr>
        <w:sz w:val="24"/>
        <w:szCs w:val="24"/>
      </w:rPr>
      <w:tblPr/>
      <w:tcPr>
        <w:tcBorders>
          <w:top w:val="nil"/>
          <w:left w:val="nil"/>
          <w:bottom w:val="single" w:sz="24" w:space="0" w:color="897B61" w:themeColor="accent3"/>
          <w:right w:val="nil"/>
          <w:insideH w:val="nil"/>
          <w:insideV w:val="nil"/>
        </w:tcBorders>
        <w:shd w:val="clear" w:color="auto" w:fill="FFFFFF" w:themeFill="background1"/>
      </w:tcPr>
    </w:tblStylePr>
    <w:tblStylePr w:type="lastRow">
      <w:tblPr/>
      <w:tcPr>
        <w:tcBorders>
          <w:top w:val="single" w:sz="8" w:space="0" w:color="897B61"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97B61" w:themeColor="accent3"/>
          <w:insideH w:val="nil"/>
          <w:insideV w:val="nil"/>
        </w:tcBorders>
        <w:shd w:val="clear" w:color="auto" w:fill="FFFFFF" w:themeFill="background1"/>
      </w:tcPr>
    </w:tblStylePr>
    <w:tblStylePr w:type="lastCol">
      <w:tblPr/>
      <w:tcPr>
        <w:tcBorders>
          <w:top w:val="nil"/>
          <w:left w:val="single" w:sz="8" w:space="0" w:color="897B61"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DED7" w:themeFill="accent3" w:themeFillTint="3F"/>
      </w:tcPr>
    </w:tblStylePr>
    <w:tblStylePr w:type="band1Horz">
      <w:tblPr/>
      <w:tcPr>
        <w:tcBorders>
          <w:top w:val="nil"/>
          <w:bottom w:val="nil"/>
          <w:insideH w:val="nil"/>
          <w:insideV w:val="nil"/>
        </w:tcBorders>
        <w:shd w:val="clear" w:color="auto" w:fill="E2DED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DAB8E" w:themeColor="accent4"/>
        <w:left w:val="single" w:sz="8" w:space="0" w:color="8DAB8E" w:themeColor="accent4"/>
        <w:bottom w:val="single" w:sz="8" w:space="0" w:color="8DAB8E" w:themeColor="accent4"/>
        <w:right w:val="single" w:sz="8" w:space="0" w:color="8DAB8E" w:themeColor="accent4"/>
      </w:tblBorders>
    </w:tblPr>
    <w:tblStylePr w:type="firstRow">
      <w:rPr>
        <w:sz w:val="24"/>
        <w:szCs w:val="24"/>
      </w:rPr>
      <w:tblPr/>
      <w:tcPr>
        <w:tcBorders>
          <w:top w:val="nil"/>
          <w:left w:val="nil"/>
          <w:bottom w:val="single" w:sz="24" w:space="0" w:color="8DAB8E" w:themeColor="accent4"/>
          <w:right w:val="nil"/>
          <w:insideH w:val="nil"/>
          <w:insideV w:val="nil"/>
        </w:tcBorders>
        <w:shd w:val="clear" w:color="auto" w:fill="FFFFFF" w:themeFill="background1"/>
      </w:tcPr>
    </w:tblStylePr>
    <w:tblStylePr w:type="lastRow">
      <w:tblPr/>
      <w:tcPr>
        <w:tcBorders>
          <w:top w:val="single" w:sz="8" w:space="0" w:color="8DAB8E"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DAB8E" w:themeColor="accent4"/>
          <w:insideH w:val="nil"/>
          <w:insideV w:val="nil"/>
        </w:tcBorders>
        <w:shd w:val="clear" w:color="auto" w:fill="FFFFFF" w:themeFill="background1"/>
      </w:tcPr>
    </w:tblStylePr>
    <w:tblStylePr w:type="lastCol">
      <w:tblPr/>
      <w:tcPr>
        <w:tcBorders>
          <w:top w:val="nil"/>
          <w:left w:val="single" w:sz="8" w:space="0" w:color="8DAB8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EAE2" w:themeFill="accent4" w:themeFillTint="3F"/>
      </w:tcPr>
    </w:tblStylePr>
    <w:tblStylePr w:type="band1Horz">
      <w:tblPr/>
      <w:tcPr>
        <w:tcBorders>
          <w:top w:val="nil"/>
          <w:bottom w:val="nil"/>
          <w:insideH w:val="nil"/>
          <w:insideV w:val="nil"/>
        </w:tcBorders>
        <w:shd w:val="clear" w:color="auto" w:fill="E2EAE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7A2BB" w:themeColor="accent5"/>
        <w:left w:val="single" w:sz="8" w:space="0" w:color="77A2BB" w:themeColor="accent5"/>
        <w:bottom w:val="single" w:sz="8" w:space="0" w:color="77A2BB" w:themeColor="accent5"/>
        <w:right w:val="single" w:sz="8" w:space="0" w:color="77A2BB" w:themeColor="accent5"/>
      </w:tblBorders>
    </w:tblPr>
    <w:tblStylePr w:type="firstRow">
      <w:rPr>
        <w:sz w:val="24"/>
        <w:szCs w:val="24"/>
      </w:rPr>
      <w:tblPr/>
      <w:tcPr>
        <w:tcBorders>
          <w:top w:val="nil"/>
          <w:left w:val="nil"/>
          <w:bottom w:val="single" w:sz="24" w:space="0" w:color="77A2BB" w:themeColor="accent5"/>
          <w:right w:val="nil"/>
          <w:insideH w:val="nil"/>
          <w:insideV w:val="nil"/>
        </w:tcBorders>
        <w:shd w:val="clear" w:color="auto" w:fill="FFFFFF" w:themeFill="background1"/>
      </w:tcPr>
    </w:tblStylePr>
    <w:tblStylePr w:type="lastRow">
      <w:tblPr/>
      <w:tcPr>
        <w:tcBorders>
          <w:top w:val="single" w:sz="8" w:space="0" w:color="77A2B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7A2BB" w:themeColor="accent5"/>
          <w:insideH w:val="nil"/>
          <w:insideV w:val="nil"/>
        </w:tcBorders>
        <w:shd w:val="clear" w:color="auto" w:fill="FFFFFF" w:themeFill="background1"/>
      </w:tcPr>
    </w:tblStylePr>
    <w:tblStylePr w:type="lastCol">
      <w:tblPr/>
      <w:tcPr>
        <w:tcBorders>
          <w:top w:val="nil"/>
          <w:left w:val="single" w:sz="8" w:space="0" w:color="77A2B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E7EE" w:themeFill="accent5" w:themeFillTint="3F"/>
      </w:tcPr>
    </w:tblStylePr>
    <w:tblStylePr w:type="band1Horz">
      <w:tblPr/>
      <w:tcPr>
        <w:tcBorders>
          <w:top w:val="nil"/>
          <w:bottom w:val="nil"/>
          <w:insideH w:val="nil"/>
          <w:insideV w:val="nil"/>
        </w:tcBorders>
        <w:shd w:val="clear" w:color="auto" w:fill="DDE7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28394" w:themeColor="accent6"/>
        <w:left w:val="single" w:sz="8" w:space="0" w:color="E28394" w:themeColor="accent6"/>
        <w:bottom w:val="single" w:sz="8" w:space="0" w:color="E28394" w:themeColor="accent6"/>
        <w:right w:val="single" w:sz="8" w:space="0" w:color="E28394" w:themeColor="accent6"/>
      </w:tblBorders>
    </w:tblPr>
    <w:tblStylePr w:type="firstRow">
      <w:rPr>
        <w:sz w:val="24"/>
        <w:szCs w:val="24"/>
      </w:rPr>
      <w:tblPr/>
      <w:tcPr>
        <w:tcBorders>
          <w:top w:val="nil"/>
          <w:left w:val="nil"/>
          <w:bottom w:val="single" w:sz="24" w:space="0" w:color="E28394" w:themeColor="accent6"/>
          <w:right w:val="nil"/>
          <w:insideH w:val="nil"/>
          <w:insideV w:val="nil"/>
        </w:tcBorders>
        <w:shd w:val="clear" w:color="auto" w:fill="FFFFFF" w:themeFill="background1"/>
      </w:tcPr>
    </w:tblStylePr>
    <w:tblStylePr w:type="lastRow">
      <w:tblPr/>
      <w:tcPr>
        <w:tcBorders>
          <w:top w:val="single" w:sz="8" w:space="0" w:color="E28394"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28394" w:themeColor="accent6"/>
          <w:insideH w:val="nil"/>
          <w:insideV w:val="nil"/>
        </w:tcBorders>
        <w:shd w:val="clear" w:color="auto" w:fill="FFFFFF" w:themeFill="background1"/>
      </w:tcPr>
    </w:tblStylePr>
    <w:tblStylePr w:type="lastCol">
      <w:tblPr/>
      <w:tcPr>
        <w:tcBorders>
          <w:top w:val="nil"/>
          <w:left w:val="single" w:sz="8" w:space="0" w:color="E2839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E0E4" w:themeFill="accent6" w:themeFillTint="3F"/>
      </w:tcPr>
    </w:tblStylePr>
    <w:tblStylePr w:type="band1Horz">
      <w:tblPr/>
      <w:tcPr>
        <w:tcBorders>
          <w:top w:val="nil"/>
          <w:bottom w:val="nil"/>
          <w:insideH w:val="nil"/>
          <w:insideV w:val="nil"/>
        </w:tcBorders>
        <w:shd w:val="clear" w:color="auto" w:fill="F7E0E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A8A9A4" w:themeColor="accent1" w:themeTint="BF"/>
        <w:left w:val="single" w:sz="8" w:space="0" w:color="A8A9A4" w:themeColor="accent1" w:themeTint="BF"/>
        <w:bottom w:val="single" w:sz="8" w:space="0" w:color="A8A9A4" w:themeColor="accent1" w:themeTint="BF"/>
        <w:right w:val="single" w:sz="8" w:space="0" w:color="A8A9A4" w:themeColor="accent1" w:themeTint="BF"/>
        <w:insideH w:val="single" w:sz="8" w:space="0" w:color="A8A9A4" w:themeColor="accent1" w:themeTint="BF"/>
        <w:insideV w:val="single" w:sz="8" w:space="0" w:color="A8A9A4" w:themeColor="accent1" w:themeTint="BF"/>
      </w:tblBorders>
    </w:tblPr>
    <w:tcPr>
      <w:shd w:val="clear" w:color="auto" w:fill="E2E2E0" w:themeFill="accent1" w:themeFillTint="3F"/>
    </w:tcPr>
    <w:tblStylePr w:type="firstRow">
      <w:rPr>
        <w:b/>
        <w:bCs/>
      </w:rPr>
    </w:tblStylePr>
    <w:tblStylePr w:type="lastRow">
      <w:rPr>
        <w:b/>
        <w:bCs/>
      </w:rPr>
      <w:tblPr/>
      <w:tcPr>
        <w:tcBorders>
          <w:top w:val="single" w:sz="18" w:space="0" w:color="A8A9A4" w:themeColor="accent1" w:themeTint="BF"/>
        </w:tcBorders>
      </w:tcPr>
    </w:tblStylePr>
    <w:tblStylePr w:type="firstCol">
      <w:rPr>
        <w:b/>
        <w:bCs/>
      </w:rPr>
    </w:tblStylePr>
    <w:tblStylePr w:type="lastCol">
      <w:rPr>
        <w:b/>
        <w:bCs/>
      </w:rPr>
    </w:tblStylePr>
    <w:tblStylePr w:type="band1Vert">
      <w:tblPr/>
      <w:tcPr>
        <w:shd w:val="clear" w:color="auto" w:fill="C5C6C2" w:themeFill="accent1" w:themeFillTint="7F"/>
      </w:tcPr>
    </w:tblStylePr>
    <w:tblStylePr w:type="band1Horz">
      <w:tblPr/>
      <w:tcPr>
        <w:shd w:val="clear" w:color="auto" w:fill="C5C6C2"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ECCF8E" w:themeColor="accent2" w:themeTint="BF"/>
        <w:left w:val="single" w:sz="8" w:space="0" w:color="ECCF8E" w:themeColor="accent2" w:themeTint="BF"/>
        <w:bottom w:val="single" w:sz="8" w:space="0" w:color="ECCF8E" w:themeColor="accent2" w:themeTint="BF"/>
        <w:right w:val="single" w:sz="8" w:space="0" w:color="ECCF8E" w:themeColor="accent2" w:themeTint="BF"/>
        <w:insideH w:val="single" w:sz="8" w:space="0" w:color="ECCF8E" w:themeColor="accent2" w:themeTint="BF"/>
        <w:insideV w:val="single" w:sz="8" w:space="0" w:color="ECCF8E" w:themeColor="accent2" w:themeTint="BF"/>
      </w:tblBorders>
    </w:tblPr>
    <w:tcPr>
      <w:shd w:val="clear" w:color="auto" w:fill="F8EFD9" w:themeFill="accent2" w:themeFillTint="3F"/>
    </w:tcPr>
    <w:tblStylePr w:type="firstRow">
      <w:rPr>
        <w:b/>
        <w:bCs/>
      </w:rPr>
    </w:tblStylePr>
    <w:tblStylePr w:type="lastRow">
      <w:rPr>
        <w:b/>
        <w:bCs/>
      </w:rPr>
      <w:tblPr/>
      <w:tcPr>
        <w:tcBorders>
          <w:top w:val="single" w:sz="18" w:space="0" w:color="ECCF8E" w:themeColor="accent2" w:themeTint="BF"/>
        </w:tcBorders>
      </w:tcPr>
    </w:tblStylePr>
    <w:tblStylePr w:type="firstCol">
      <w:rPr>
        <w:b/>
        <w:bCs/>
      </w:rPr>
    </w:tblStylePr>
    <w:tblStylePr w:type="lastCol">
      <w:rPr>
        <w:b/>
        <w:bCs/>
      </w:rPr>
    </w:tblStylePr>
    <w:tblStylePr w:type="band1Vert">
      <w:tblPr/>
      <w:tcPr>
        <w:shd w:val="clear" w:color="auto" w:fill="F2DFB4" w:themeFill="accent2" w:themeFillTint="7F"/>
      </w:tcPr>
    </w:tblStylePr>
    <w:tblStylePr w:type="band1Horz">
      <w:tblPr/>
      <w:tcPr>
        <w:shd w:val="clear" w:color="auto" w:fill="F2DFB4"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A99C85" w:themeColor="accent3" w:themeTint="BF"/>
        <w:left w:val="single" w:sz="8" w:space="0" w:color="A99C85" w:themeColor="accent3" w:themeTint="BF"/>
        <w:bottom w:val="single" w:sz="8" w:space="0" w:color="A99C85" w:themeColor="accent3" w:themeTint="BF"/>
        <w:right w:val="single" w:sz="8" w:space="0" w:color="A99C85" w:themeColor="accent3" w:themeTint="BF"/>
        <w:insideH w:val="single" w:sz="8" w:space="0" w:color="A99C85" w:themeColor="accent3" w:themeTint="BF"/>
        <w:insideV w:val="single" w:sz="8" w:space="0" w:color="A99C85" w:themeColor="accent3" w:themeTint="BF"/>
      </w:tblBorders>
    </w:tblPr>
    <w:tcPr>
      <w:shd w:val="clear" w:color="auto" w:fill="E2DED7" w:themeFill="accent3" w:themeFillTint="3F"/>
    </w:tcPr>
    <w:tblStylePr w:type="firstRow">
      <w:rPr>
        <w:b/>
        <w:bCs/>
      </w:rPr>
    </w:tblStylePr>
    <w:tblStylePr w:type="lastRow">
      <w:rPr>
        <w:b/>
        <w:bCs/>
      </w:rPr>
      <w:tblPr/>
      <w:tcPr>
        <w:tcBorders>
          <w:top w:val="single" w:sz="18" w:space="0" w:color="A99C85" w:themeColor="accent3" w:themeTint="BF"/>
        </w:tcBorders>
      </w:tcPr>
    </w:tblStylePr>
    <w:tblStylePr w:type="firstCol">
      <w:rPr>
        <w:b/>
        <w:bCs/>
      </w:rPr>
    </w:tblStylePr>
    <w:tblStylePr w:type="lastCol">
      <w:rPr>
        <w:b/>
        <w:bCs/>
      </w:rPr>
    </w:tblStylePr>
    <w:tblStylePr w:type="band1Vert">
      <w:tblPr/>
      <w:tcPr>
        <w:shd w:val="clear" w:color="auto" w:fill="C6BDAE" w:themeFill="accent3" w:themeFillTint="7F"/>
      </w:tcPr>
    </w:tblStylePr>
    <w:tblStylePr w:type="band1Horz">
      <w:tblPr/>
      <w:tcPr>
        <w:shd w:val="clear" w:color="auto" w:fill="C6BDAE"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A9C0AA" w:themeColor="accent4" w:themeTint="BF"/>
        <w:left w:val="single" w:sz="8" w:space="0" w:color="A9C0AA" w:themeColor="accent4" w:themeTint="BF"/>
        <w:bottom w:val="single" w:sz="8" w:space="0" w:color="A9C0AA" w:themeColor="accent4" w:themeTint="BF"/>
        <w:right w:val="single" w:sz="8" w:space="0" w:color="A9C0AA" w:themeColor="accent4" w:themeTint="BF"/>
        <w:insideH w:val="single" w:sz="8" w:space="0" w:color="A9C0AA" w:themeColor="accent4" w:themeTint="BF"/>
        <w:insideV w:val="single" w:sz="8" w:space="0" w:color="A9C0AA" w:themeColor="accent4" w:themeTint="BF"/>
      </w:tblBorders>
    </w:tblPr>
    <w:tcPr>
      <w:shd w:val="clear" w:color="auto" w:fill="E2EAE2" w:themeFill="accent4" w:themeFillTint="3F"/>
    </w:tcPr>
    <w:tblStylePr w:type="firstRow">
      <w:rPr>
        <w:b/>
        <w:bCs/>
      </w:rPr>
    </w:tblStylePr>
    <w:tblStylePr w:type="lastRow">
      <w:rPr>
        <w:b/>
        <w:bCs/>
      </w:rPr>
      <w:tblPr/>
      <w:tcPr>
        <w:tcBorders>
          <w:top w:val="single" w:sz="18" w:space="0" w:color="A9C0AA" w:themeColor="accent4" w:themeTint="BF"/>
        </w:tcBorders>
      </w:tcPr>
    </w:tblStylePr>
    <w:tblStylePr w:type="firstCol">
      <w:rPr>
        <w:b/>
        <w:bCs/>
      </w:rPr>
    </w:tblStylePr>
    <w:tblStylePr w:type="lastCol">
      <w:rPr>
        <w:b/>
        <w:bCs/>
      </w:rPr>
    </w:tblStylePr>
    <w:tblStylePr w:type="band1Vert">
      <w:tblPr/>
      <w:tcPr>
        <w:shd w:val="clear" w:color="auto" w:fill="C6D5C6" w:themeFill="accent4" w:themeFillTint="7F"/>
      </w:tcPr>
    </w:tblStylePr>
    <w:tblStylePr w:type="band1Horz">
      <w:tblPr/>
      <w:tcPr>
        <w:shd w:val="clear" w:color="auto" w:fill="C6D5C6"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99B9CC" w:themeColor="accent5" w:themeTint="BF"/>
        <w:left w:val="single" w:sz="8" w:space="0" w:color="99B9CC" w:themeColor="accent5" w:themeTint="BF"/>
        <w:bottom w:val="single" w:sz="8" w:space="0" w:color="99B9CC" w:themeColor="accent5" w:themeTint="BF"/>
        <w:right w:val="single" w:sz="8" w:space="0" w:color="99B9CC" w:themeColor="accent5" w:themeTint="BF"/>
        <w:insideH w:val="single" w:sz="8" w:space="0" w:color="99B9CC" w:themeColor="accent5" w:themeTint="BF"/>
        <w:insideV w:val="single" w:sz="8" w:space="0" w:color="99B9CC" w:themeColor="accent5" w:themeTint="BF"/>
      </w:tblBorders>
    </w:tblPr>
    <w:tcPr>
      <w:shd w:val="clear" w:color="auto" w:fill="DDE7EE" w:themeFill="accent5" w:themeFillTint="3F"/>
    </w:tcPr>
    <w:tblStylePr w:type="firstRow">
      <w:rPr>
        <w:b/>
        <w:bCs/>
      </w:rPr>
    </w:tblStylePr>
    <w:tblStylePr w:type="lastRow">
      <w:rPr>
        <w:b/>
        <w:bCs/>
      </w:rPr>
      <w:tblPr/>
      <w:tcPr>
        <w:tcBorders>
          <w:top w:val="single" w:sz="18" w:space="0" w:color="99B9CC" w:themeColor="accent5" w:themeTint="BF"/>
        </w:tcBorders>
      </w:tcPr>
    </w:tblStylePr>
    <w:tblStylePr w:type="firstCol">
      <w:rPr>
        <w:b/>
        <w:bCs/>
      </w:rPr>
    </w:tblStylePr>
    <w:tblStylePr w:type="lastCol">
      <w:rPr>
        <w:b/>
        <w:bCs/>
      </w:rPr>
    </w:tblStylePr>
    <w:tblStylePr w:type="band1Vert">
      <w:tblPr/>
      <w:tcPr>
        <w:shd w:val="clear" w:color="auto" w:fill="BBD0DD" w:themeFill="accent5" w:themeFillTint="7F"/>
      </w:tcPr>
    </w:tblStylePr>
    <w:tblStylePr w:type="band1Horz">
      <w:tblPr/>
      <w:tcPr>
        <w:shd w:val="clear" w:color="auto" w:fill="BBD0DD"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E9A2AE" w:themeColor="accent6" w:themeTint="BF"/>
        <w:left w:val="single" w:sz="8" w:space="0" w:color="E9A2AE" w:themeColor="accent6" w:themeTint="BF"/>
        <w:bottom w:val="single" w:sz="8" w:space="0" w:color="E9A2AE" w:themeColor="accent6" w:themeTint="BF"/>
        <w:right w:val="single" w:sz="8" w:space="0" w:color="E9A2AE" w:themeColor="accent6" w:themeTint="BF"/>
        <w:insideH w:val="single" w:sz="8" w:space="0" w:color="E9A2AE" w:themeColor="accent6" w:themeTint="BF"/>
        <w:insideV w:val="single" w:sz="8" w:space="0" w:color="E9A2AE" w:themeColor="accent6" w:themeTint="BF"/>
      </w:tblBorders>
    </w:tblPr>
    <w:tcPr>
      <w:shd w:val="clear" w:color="auto" w:fill="F7E0E4" w:themeFill="accent6" w:themeFillTint="3F"/>
    </w:tcPr>
    <w:tblStylePr w:type="firstRow">
      <w:rPr>
        <w:b/>
        <w:bCs/>
      </w:rPr>
    </w:tblStylePr>
    <w:tblStylePr w:type="lastRow">
      <w:rPr>
        <w:b/>
        <w:bCs/>
      </w:rPr>
      <w:tblPr/>
      <w:tcPr>
        <w:tcBorders>
          <w:top w:val="single" w:sz="18" w:space="0" w:color="E9A2AE" w:themeColor="accent6" w:themeTint="BF"/>
        </w:tcBorders>
      </w:tcPr>
    </w:tblStylePr>
    <w:tblStylePr w:type="firstCol">
      <w:rPr>
        <w:b/>
        <w:bCs/>
      </w:rPr>
    </w:tblStylePr>
    <w:tblStylePr w:type="lastCol">
      <w:rPr>
        <w:b/>
        <w:bCs/>
      </w:rPr>
    </w:tblStylePr>
    <w:tblStylePr w:type="band1Vert">
      <w:tblPr/>
      <w:tcPr>
        <w:shd w:val="clear" w:color="auto" w:fill="F0C1C9" w:themeFill="accent6" w:themeFillTint="7F"/>
      </w:tcPr>
    </w:tblStylePr>
    <w:tblStylePr w:type="band1Horz">
      <w:tblPr/>
      <w:tcPr>
        <w:shd w:val="clear" w:color="auto" w:fill="F0C1C9"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C8D86" w:themeColor="accent1"/>
        <w:left w:val="single" w:sz="8" w:space="0" w:color="8C8D86" w:themeColor="accent1"/>
        <w:bottom w:val="single" w:sz="8" w:space="0" w:color="8C8D86" w:themeColor="accent1"/>
        <w:right w:val="single" w:sz="8" w:space="0" w:color="8C8D86" w:themeColor="accent1"/>
        <w:insideH w:val="single" w:sz="8" w:space="0" w:color="8C8D86" w:themeColor="accent1"/>
        <w:insideV w:val="single" w:sz="8" w:space="0" w:color="8C8D86" w:themeColor="accent1"/>
      </w:tblBorders>
    </w:tblPr>
    <w:tcPr>
      <w:shd w:val="clear" w:color="auto" w:fill="E2E2E0" w:themeFill="accent1" w:themeFillTint="3F"/>
    </w:tcPr>
    <w:tblStylePr w:type="firstRow">
      <w:rPr>
        <w:b/>
        <w:bCs/>
        <w:color w:val="000000" w:themeColor="text1"/>
      </w:rPr>
      <w:tblPr/>
      <w:tcPr>
        <w:shd w:val="clear" w:color="auto" w:fill="F3F3F2"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8E6" w:themeFill="accent1" w:themeFillTint="33"/>
      </w:tcPr>
    </w:tblStylePr>
    <w:tblStylePr w:type="band1Vert">
      <w:tblPr/>
      <w:tcPr>
        <w:shd w:val="clear" w:color="auto" w:fill="C5C6C2" w:themeFill="accent1" w:themeFillTint="7F"/>
      </w:tcPr>
    </w:tblStylePr>
    <w:tblStylePr w:type="band1Horz">
      <w:tblPr/>
      <w:tcPr>
        <w:tcBorders>
          <w:insideH w:val="single" w:sz="6" w:space="0" w:color="8C8D86" w:themeColor="accent1"/>
          <w:insideV w:val="single" w:sz="6" w:space="0" w:color="8C8D86" w:themeColor="accent1"/>
        </w:tcBorders>
        <w:shd w:val="clear" w:color="auto" w:fill="C5C6C2"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6C069" w:themeColor="accent2"/>
        <w:left w:val="single" w:sz="8" w:space="0" w:color="E6C069" w:themeColor="accent2"/>
        <w:bottom w:val="single" w:sz="8" w:space="0" w:color="E6C069" w:themeColor="accent2"/>
        <w:right w:val="single" w:sz="8" w:space="0" w:color="E6C069" w:themeColor="accent2"/>
        <w:insideH w:val="single" w:sz="8" w:space="0" w:color="E6C069" w:themeColor="accent2"/>
        <w:insideV w:val="single" w:sz="8" w:space="0" w:color="E6C069" w:themeColor="accent2"/>
      </w:tblBorders>
    </w:tblPr>
    <w:tcPr>
      <w:shd w:val="clear" w:color="auto" w:fill="F8EFD9" w:themeFill="accent2" w:themeFillTint="3F"/>
    </w:tcPr>
    <w:tblStylePr w:type="firstRow">
      <w:rPr>
        <w:b/>
        <w:bCs/>
        <w:color w:val="000000" w:themeColor="text1"/>
      </w:rPr>
      <w:tblPr/>
      <w:tcPr>
        <w:shd w:val="clear" w:color="auto" w:fill="FCF8F0"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2E1" w:themeFill="accent2" w:themeFillTint="33"/>
      </w:tcPr>
    </w:tblStylePr>
    <w:tblStylePr w:type="band1Vert">
      <w:tblPr/>
      <w:tcPr>
        <w:shd w:val="clear" w:color="auto" w:fill="F2DFB4" w:themeFill="accent2" w:themeFillTint="7F"/>
      </w:tcPr>
    </w:tblStylePr>
    <w:tblStylePr w:type="band1Horz">
      <w:tblPr/>
      <w:tcPr>
        <w:tcBorders>
          <w:insideH w:val="single" w:sz="6" w:space="0" w:color="E6C069" w:themeColor="accent2"/>
          <w:insideV w:val="single" w:sz="6" w:space="0" w:color="E6C069" w:themeColor="accent2"/>
        </w:tcBorders>
        <w:shd w:val="clear" w:color="auto" w:fill="F2DFB4"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97B61" w:themeColor="accent3"/>
        <w:left w:val="single" w:sz="8" w:space="0" w:color="897B61" w:themeColor="accent3"/>
        <w:bottom w:val="single" w:sz="8" w:space="0" w:color="897B61" w:themeColor="accent3"/>
        <w:right w:val="single" w:sz="8" w:space="0" w:color="897B61" w:themeColor="accent3"/>
        <w:insideH w:val="single" w:sz="8" w:space="0" w:color="897B61" w:themeColor="accent3"/>
        <w:insideV w:val="single" w:sz="8" w:space="0" w:color="897B61" w:themeColor="accent3"/>
      </w:tblBorders>
    </w:tblPr>
    <w:tcPr>
      <w:shd w:val="clear" w:color="auto" w:fill="E2DED7" w:themeFill="accent3" w:themeFillTint="3F"/>
    </w:tcPr>
    <w:tblStylePr w:type="firstRow">
      <w:rPr>
        <w:b/>
        <w:bCs/>
        <w:color w:val="000000" w:themeColor="text1"/>
      </w:rPr>
      <w:tblPr/>
      <w:tcPr>
        <w:shd w:val="clear" w:color="auto" w:fill="F3F2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4DE" w:themeFill="accent3" w:themeFillTint="33"/>
      </w:tcPr>
    </w:tblStylePr>
    <w:tblStylePr w:type="band1Vert">
      <w:tblPr/>
      <w:tcPr>
        <w:shd w:val="clear" w:color="auto" w:fill="C6BDAE" w:themeFill="accent3" w:themeFillTint="7F"/>
      </w:tcPr>
    </w:tblStylePr>
    <w:tblStylePr w:type="band1Horz">
      <w:tblPr/>
      <w:tcPr>
        <w:tcBorders>
          <w:insideH w:val="single" w:sz="6" w:space="0" w:color="897B61" w:themeColor="accent3"/>
          <w:insideV w:val="single" w:sz="6" w:space="0" w:color="897B61" w:themeColor="accent3"/>
        </w:tcBorders>
        <w:shd w:val="clear" w:color="auto" w:fill="C6BDAE"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DAB8E" w:themeColor="accent4"/>
        <w:left w:val="single" w:sz="8" w:space="0" w:color="8DAB8E" w:themeColor="accent4"/>
        <w:bottom w:val="single" w:sz="8" w:space="0" w:color="8DAB8E" w:themeColor="accent4"/>
        <w:right w:val="single" w:sz="8" w:space="0" w:color="8DAB8E" w:themeColor="accent4"/>
        <w:insideH w:val="single" w:sz="8" w:space="0" w:color="8DAB8E" w:themeColor="accent4"/>
        <w:insideV w:val="single" w:sz="8" w:space="0" w:color="8DAB8E" w:themeColor="accent4"/>
      </w:tblBorders>
    </w:tblPr>
    <w:tcPr>
      <w:shd w:val="clear" w:color="auto" w:fill="E2EAE2" w:themeFill="accent4" w:themeFillTint="3F"/>
    </w:tcPr>
    <w:tblStylePr w:type="firstRow">
      <w:rPr>
        <w:b/>
        <w:bCs/>
        <w:color w:val="000000" w:themeColor="text1"/>
      </w:rPr>
      <w:tblPr/>
      <w:tcPr>
        <w:shd w:val="clear" w:color="auto" w:fill="F3F6F3"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EE8" w:themeFill="accent4" w:themeFillTint="33"/>
      </w:tcPr>
    </w:tblStylePr>
    <w:tblStylePr w:type="band1Vert">
      <w:tblPr/>
      <w:tcPr>
        <w:shd w:val="clear" w:color="auto" w:fill="C6D5C6" w:themeFill="accent4" w:themeFillTint="7F"/>
      </w:tcPr>
    </w:tblStylePr>
    <w:tblStylePr w:type="band1Horz">
      <w:tblPr/>
      <w:tcPr>
        <w:tcBorders>
          <w:insideH w:val="single" w:sz="6" w:space="0" w:color="8DAB8E" w:themeColor="accent4"/>
          <w:insideV w:val="single" w:sz="6" w:space="0" w:color="8DAB8E" w:themeColor="accent4"/>
        </w:tcBorders>
        <w:shd w:val="clear" w:color="auto" w:fill="C6D5C6"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7A2BB" w:themeColor="accent5"/>
        <w:left w:val="single" w:sz="8" w:space="0" w:color="77A2BB" w:themeColor="accent5"/>
        <w:bottom w:val="single" w:sz="8" w:space="0" w:color="77A2BB" w:themeColor="accent5"/>
        <w:right w:val="single" w:sz="8" w:space="0" w:color="77A2BB" w:themeColor="accent5"/>
        <w:insideH w:val="single" w:sz="8" w:space="0" w:color="77A2BB" w:themeColor="accent5"/>
        <w:insideV w:val="single" w:sz="8" w:space="0" w:color="77A2BB" w:themeColor="accent5"/>
      </w:tblBorders>
    </w:tblPr>
    <w:tcPr>
      <w:shd w:val="clear" w:color="auto" w:fill="DDE7EE" w:themeFill="accent5" w:themeFillTint="3F"/>
    </w:tcPr>
    <w:tblStylePr w:type="firstRow">
      <w:rPr>
        <w:b/>
        <w:bCs/>
        <w:color w:val="000000" w:themeColor="text1"/>
      </w:rPr>
      <w:tblPr/>
      <w:tcPr>
        <w:shd w:val="clear" w:color="auto" w:fill="F1F5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CF1" w:themeFill="accent5" w:themeFillTint="33"/>
      </w:tcPr>
    </w:tblStylePr>
    <w:tblStylePr w:type="band1Vert">
      <w:tblPr/>
      <w:tcPr>
        <w:shd w:val="clear" w:color="auto" w:fill="BBD0DD" w:themeFill="accent5" w:themeFillTint="7F"/>
      </w:tcPr>
    </w:tblStylePr>
    <w:tblStylePr w:type="band1Horz">
      <w:tblPr/>
      <w:tcPr>
        <w:tcBorders>
          <w:insideH w:val="single" w:sz="6" w:space="0" w:color="77A2BB" w:themeColor="accent5"/>
          <w:insideV w:val="single" w:sz="6" w:space="0" w:color="77A2BB" w:themeColor="accent5"/>
        </w:tcBorders>
        <w:shd w:val="clear" w:color="auto" w:fill="BBD0DD"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28394" w:themeColor="accent6"/>
        <w:left w:val="single" w:sz="8" w:space="0" w:color="E28394" w:themeColor="accent6"/>
        <w:bottom w:val="single" w:sz="8" w:space="0" w:color="E28394" w:themeColor="accent6"/>
        <w:right w:val="single" w:sz="8" w:space="0" w:color="E28394" w:themeColor="accent6"/>
        <w:insideH w:val="single" w:sz="8" w:space="0" w:color="E28394" w:themeColor="accent6"/>
        <w:insideV w:val="single" w:sz="8" w:space="0" w:color="E28394" w:themeColor="accent6"/>
      </w:tblBorders>
    </w:tblPr>
    <w:tcPr>
      <w:shd w:val="clear" w:color="auto" w:fill="F7E0E4" w:themeFill="accent6" w:themeFillTint="3F"/>
    </w:tcPr>
    <w:tblStylePr w:type="firstRow">
      <w:rPr>
        <w:b/>
        <w:bCs/>
        <w:color w:val="000000" w:themeColor="text1"/>
      </w:rPr>
      <w:tblPr/>
      <w:tcPr>
        <w:shd w:val="clear" w:color="auto" w:fill="FCF2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E6E9" w:themeFill="accent6" w:themeFillTint="33"/>
      </w:tcPr>
    </w:tblStylePr>
    <w:tblStylePr w:type="band1Vert">
      <w:tblPr/>
      <w:tcPr>
        <w:shd w:val="clear" w:color="auto" w:fill="F0C1C9" w:themeFill="accent6" w:themeFillTint="7F"/>
      </w:tcPr>
    </w:tblStylePr>
    <w:tblStylePr w:type="band1Horz">
      <w:tblPr/>
      <w:tcPr>
        <w:tcBorders>
          <w:insideH w:val="single" w:sz="6" w:space="0" w:color="E28394" w:themeColor="accent6"/>
          <w:insideV w:val="single" w:sz="6" w:space="0" w:color="E28394" w:themeColor="accent6"/>
        </w:tcBorders>
        <w:shd w:val="clear" w:color="auto" w:fill="F0C1C9"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E2E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C8D8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C8D8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C8D8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C8D8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5C6C2"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5C6C2"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EFD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C06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C06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C06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C06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DFB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DFB4"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DED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97B6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97B6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97B6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97B6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6BDA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6BDAE"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EAE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DAB8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DAB8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DAB8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DAB8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6D5C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6D5C6"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E7E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7A2B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7A2B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7A2B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7A2B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BD0D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BD0DD"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E0E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2839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2839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2839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2839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0C1C9"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0C1C9"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8C8D8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5464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68696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686963" w:themeFill="accent1" w:themeFillShade="BF"/>
      </w:tcPr>
    </w:tblStylePr>
    <w:tblStylePr w:type="band1Vert">
      <w:tblPr/>
      <w:tcPr>
        <w:tcBorders>
          <w:top w:val="nil"/>
          <w:left w:val="nil"/>
          <w:bottom w:val="nil"/>
          <w:right w:val="nil"/>
          <w:insideH w:val="nil"/>
          <w:insideV w:val="nil"/>
        </w:tcBorders>
        <w:shd w:val="clear" w:color="auto" w:fill="686963" w:themeFill="accent1" w:themeFillShade="BF"/>
      </w:tcPr>
    </w:tblStylePr>
    <w:tblStylePr w:type="band1Horz">
      <w:tblPr/>
      <w:tcPr>
        <w:tcBorders>
          <w:top w:val="nil"/>
          <w:left w:val="nil"/>
          <w:bottom w:val="nil"/>
          <w:right w:val="nil"/>
          <w:insideH w:val="nil"/>
          <w:insideV w:val="nil"/>
        </w:tcBorders>
        <w:shd w:val="clear" w:color="auto" w:fill="686963"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E6C06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E6A1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6A02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6A024" w:themeFill="accent2" w:themeFillShade="BF"/>
      </w:tcPr>
    </w:tblStylePr>
    <w:tblStylePr w:type="band1Vert">
      <w:tblPr/>
      <w:tcPr>
        <w:tcBorders>
          <w:top w:val="nil"/>
          <w:left w:val="nil"/>
          <w:bottom w:val="nil"/>
          <w:right w:val="nil"/>
          <w:insideH w:val="nil"/>
          <w:insideV w:val="nil"/>
        </w:tcBorders>
        <w:shd w:val="clear" w:color="auto" w:fill="D6A024" w:themeFill="accent2" w:themeFillShade="BF"/>
      </w:tcPr>
    </w:tblStylePr>
    <w:tblStylePr w:type="band1Horz">
      <w:tblPr/>
      <w:tcPr>
        <w:tcBorders>
          <w:top w:val="nil"/>
          <w:left w:val="nil"/>
          <w:bottom w:val="nil"/>
          <w:right w:val="nil"/>
          <w:insideH w:val="nil"/>
          <w:insideV w:val="nil"/>
        </w:tcBorders>
        <w:shd w:val="clear" w:color="auto" w:fill="D6A02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897B61"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43D3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665B4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665B48" w:themeFill="accent3" w:themeFillShade="BF"/>
      </w:tcPr>
    </w:tblStylePr>
    <w:tblStylePr w:type="band1Vert">
      <w:tblPr/>
      <w:tcPr>
        <w:tcBorders>
          <w:top w:val="nil"/>
          <w:left w:val="nil"/>
          <w:bottom w:val="nil"/>
          <w:right w:val="nil"/>
          <w:insideH w:val="nil"/>
          <w:insideV w:val="nil"/>
        </w:tcBorders>
        <w:shd w:val="clear" w:color="auto" w:fill="665B48" w:themeFill="accent3" w:themeFillShade="BF"/>
      </w:tcPr>
    </w:tblStylePr>
    <w:tblStylePr w:type="band1Horz">
      <w:tblPr/>
      <w:tcPr>
        <w:tcBorders>
          <w:top w:val="nil"/>
          <w:left w:val="nil"/>
          <w:bottom w:val="nil"/>
          <w:right w:val="nil"/>
          <w:insideH w:val="nil"/>
          <w:insideV w:val="nil"/>
        </w:tcBorders>
        <w:shd w:val="clear" w:color="auto" w:fill="665B48"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DAB8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594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3866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38664" w:themeFill="accent4" w:themeFillShade="BF"/>
      </w:tcPr>
    </w:tblStylePr>
    <w:tblStylePr w:type="band1Vert">
      <w:tblPr/>
      <w:tcPr>
        <w:tcBorders>
          <w:top w:val="nil"/>
          <w:left w:val="nil"/>
          <w:bottom w:val="nil"/>
          <w:right w:val="nil"/>
          <w:insideH w:val="nil"/>
          <w:insideV w:val="nil"/>
        </w:tcBorders>
        <w:shd w:val="clear" w:color="auto" w:fill="638664" w:themeFill="accent4" w:themeFillShade="BF"/>
      </w:tcPr>
    </w:tblStylePr>
    <w:tblStylePr w:type="band1Horz">
      <w:tblPr/>
      <w:tcPr>
        <w:tcBorders>
          <w:top w:val="nil"/>
          <w:left w:val="nil"/>
          <w:bottom w:val="nil"/>
          <w:right w:val="nil"/>
          <w:insideH w:val="nil"/>
          <w:insideV w:val="nil"/>
        </w:tcBorders>
        <w:shd w:val="clear" w:color="auto" w:fill="638664"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77A2B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526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C7C9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C7C98" w:themeFill="accent5" w:themeFillShade="BF"/>
      </w:tcPr>
    </w:tblStylePr>
    <w:tblStylePr w:type="band1Vert">
      <w:tblPr/>
      <w:tcPr>
        <w:tcBorders>
          <w:top w:val="nil"/>
          <w:left w:val="nil"/>
          <w:bottom w:val="nil"/>
          <w:right w:val="nil"/>
          <w:insideH w:val="nil"/>
          <w:insideV w:val="nil"/>
        </w:tcBorders>
        <w:shd w:val="clear" w:color="auto" w:fill="4C7C98" w:themeFill="accent5" w:themeFillShade="BF"/>
      </w:tcPr>
    </w:tblStylePr>
    <w:tblStylePr w:type="band1Horz">
      <w:tblPr/>
      <w:tcPr>
        <w:tcBorders>
          <w:top w:val="nil"/>
          <w:left w:val="nil"/>
          <w:bottom w:val="nil"/>
          <w:right w:val="nil"/>
          <w:insideH w:val="nil"/>
          <w:insideV w:val="nil"/>
        </w:tcBorders>
        <w:shd w:val="clear" w:color="auto" w:fill="4C7C98"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E2839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F213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13A5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13A54" w:themeFill="accent6" w:themeFillShade="BF"/>
      </w:tcPr>
    </w:tblStylePr>
    <w:tblStylePr w:type="band1Vert">
      <w:tblPr/>
      <w:tcPr>
        <w:tcBorders>
          <w:top w:val="nil"/>
          <w:left w:val="nil"/>
          <w:bottom w:val="nil"/>
          <w:right w:val="nil"/>
          <w:insideH w:val="nil"/>
          <w:insideV w:val="nil"/>
        </w:tcBorders>
        <w:shd w:val="clear" w:color="auto" w:fill="D13A54" w:themeFill="accent6" w:themeFillShade="BF"/>
      </w:tcPr>
    </w:tblStylePr>
    <w:tblStylePr w:type="band1Horz">
      <w:tblPr/>
      <w:tcPr>
        <w:tcBorders>
          <w:top w:val="nil"/>
          <w:left w:val="nil"/>
          <w:bottom w:val="nil"/>
          <w:right w:val="nil"/>
          <w:insideH w:val="nil"/>
          <w:insideV w:val="nil"/>
        </w:tcBorders>
        <w:shd w:val="clear" w:color="auto" w:fill="D13A54"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E6C06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6C06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E6C069" w:themeColor="accent2"/>
        <w:left w:val="single" w:sz="4" w:space="0" w:color="8C8D86" w:themeColor="accent1"/>
        <w:bottom w:val="single" w:sz="4" w:space="0" w:color="8C8D86" w:themeColor="accent1"/>
        <w:right w:val="single" w:sz="4" w:space="0" w:color="8C8D86" w:themeColor="accent1"/>
        <w:insideH w:val="single" w:sz="4" w:space="0" w:color="FFFFFF" w:themeColor="background1"/>
        <w:insideV w:val="single" w:sz="4" w:space="0" w:color="FFFFFF" w:themeColor="background1"/>
      </w:tblBorders>
    </w:tblPr>
    <w:tcPr>
      <w:shd w:val="clear" w:color="auto" w:fill="F3F3F2" w:themeFill="accent1" w:themeFillTint="19"/>
    </w:tcPr>
    <w:tblStylePr w:type="firstRow">
      <w:rPr>
        <w:b/>
        <w:bCs/>
      </w:rPr>
      <w:tblPr/>
      <w:tcPr>
        <w:tcBorders>
          <w:top w:val="nil"/>
          <w:left w:val="nil"/>
          <w:bottom w:val="single" w:sz="24" w:space="0" w:color="E6C06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45450" w:themeFill="accent1" w:themeFillShade="99"/>
      </w:tcPr>
    </w:tblStylePr>
    <w:tblStylePr w:type="firstCol">
      <w:rPr>
        <w:color w:val="FFFFFF" w:themeColor="background1"/>
      </w:rPr>
      <w:tblPr/>
      <w:tcPr>
        <w:tcBorders>
          <w:top w:val="nil"/>
          <w:left w:val="nil"/>
          <w:bottom w:val="nil"/>
          <w:right w:val="nil"/>
          <w:insideH w:val="single" w:sz="4" w:space="0" w:color="545450" w:themeColor="accent1" w:themeShade="99"/>
          <w:insideV w:val="nil"/>
        </w:tcBorders>
        <w:shd w:val="clear" w:color="auto" w:fill="54545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45450" w:themeFill="accent1" w:themeFillShade="99"/>
      </w:tcPr>
    </w:tblStylePr>
    <w:tblStylePr w:type="band1Vert">
      <w:tblPr/>
      <w:tcPr>
        <w:shd w:val="clear" w:color="auto" w:fill="D1D1CE" w:themeFill="accent1" w:themeFillTint="66"/>
      </w:tcPr>
    </w:tblStylePr>
    <w:tblStylePr w:type="band1Horz">
      <w:tblPr/>
      <w:tcPr>
        <w:shd w:val="clear" w:color="auto" w:fill="C5C6C2"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E6C069" w:themeColor="accent2"/>
        <w:left w:val="single" w:sz="4" w:space="0" w:color="E6C069" w:themeColor="accent2"/>
        <w:bottom w:val="single" w:sz="4" w:space="0" w:color="E6C069" w:themeColor="accent2"/>
        <w:right w:val="single" w:sz="4" w:space="0" w:color="E6C069" w:themeColor="accent2"/>
        <w:insideH w:val="single" w:sz="4" w:space="0" w:color="FFFFFF" w:themeColor="background1"/>
        <w:insideV w:val="single" w:sz="4" w:space="0" w:color="FFFFFF" w:themeColor="background1"/>
      </w:tblBorders>
    </w:tblPr>
    <w:tcPr>
      <w:shd w:val="clear" w:color="auto" w:fill="FCF8F0" w:themeFill="accent2" w:themeFillTint="19"/>
    </w:tcPr>
    <w:tblStylePr w:type="firstRow">
      <w:rPr>
        <w:b/>
        <w:bCs/>
      </w:rPr>
      <w:tblPr/>
      <w:tcPr>
        <w:tcBorders>
          <w:top w:val="nil"/>
          <w:left w:val="nil"/>
          <w:bottom w:val="single" w:sz="24" w:space="0" w:color="E6C06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C801C" w:themeFill="accent2" w:themeFillShade="99"/>
      </w:tcPr>
    </w:tblStylePr>
    <w:tblStylePr w:type="firstCol">
      <w:rPr>
        <w:color w:val="FFFFFF" w:themeColor="background1"/>
      </w:rPr>
      <w:tblPr/>
      <w:tcPr>
        <w:tcBorders>
          <w:top w:val="nil"/>
          <w:left w:val="nil"/>
          <w:bottom w:val="nil"/>
          <w:right w:val="nil"/>
          <w:insideH w:val="single" w:sz="4" w:space="0" w:color="AC801C" w:themeColor="accent2" w:themeShade="99"/>
          <w:insideV w:val="nil"/>
        </w:tcBorders>
        <w:shd w:val="clear" w:color="auto" w:fill="AC801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AC801C" w:themeFill="accent2" w:themeFillShade="99"/>
      </w:tcPr>
    </w:tblStylePr>
    <w:tblStylePr w:type="band1Vert">
      <w:tblPr/>
      <w:tcPr>
        <w:shd w:val="clear" w:color="auto" w:fill="F5E5C3" w:themeFill="accent2" w:themeFillTint="66"/>
      </w:tcPr>
    </w:tblStylePr>
    <w:tblStylePr w:type="band1Horz">
      <w:tblPr/>
      <w:tcPr>
        <w:shd w:val="clear" w:color="auto" w:fill="F2DFB4"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DAB8E" w:themeColor="accent4"/>
        <w:left w:val="single" w:sz="4" w:space="0" w:color="897B61" w:themeColor="accent3"/>
        <w:bottom w:val="single" w:sz="4" w:space="0" w:color="897B61" w:themeColor="accent3"/>
        <w:right w:val="single" w:sz="4" w:space="0" w:color="897B61" w:themeColor="accent3"/>
        <w:insideH w:val="single" w:sz="4" w:space="0" w:color="FFFFFF" w:themeColor="background1"/>
        <w:insideV w:val="single" w:sz="4" w:space="0" w:color="FFFFFF" w:themeColor="background1"/>
      </w:tblBorders>
    </w:tblPr>
    <w:tcPr>
      <w:shd w:val="clear" w:color="auto" w:fill="F3F2EF" w:themeFill="accent3" w:themeFillTint="19"/>
    </w:tcPr>
    <w:tblStylePr w:type="firstRow">
      <w:rPr>
        <w:b/>
        <w:bCs/>
      </w:rPr>
      <w:tblPr/>
      <w:tcPr>
        <w:tcBorders>
          <w:top w:val="nil"/>
          <w:left w:val="nil"/>
          <w:bottom w:val="single" w:sz="24" w:space="0" w:color="8DAB8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2493A" w:themeFill="accent3" w:themeFillShade="99"/>
      </w:tcPr>
    </w:tblStylePr>
    <w:tblStylePr w:type="firstCol">
      <w:rPr>
        <w:color w:val="FFFFFF" w:themeColor="background1"/>
      </w:rPr>
      <w:tblPr/>
      <w:tcPr>
        <w:tcBorders>
          <w:top w:val="nil"/>
          <w:left w:val="nil"/>
          <w:bottom w:val="nil"/>
          <w:right w:val="nil"/>
          <w:insideH w:val="single" w:sz="4" w:space="0" w:color="52493A" w:themeColor="accent3" w:themeShade="99"/>
          <w:insideV w:val="nil"/>
        </w:tcBorders>
        <w:shd w:val="clear" w:color="auto" w:fill="52493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2493A" w:themeFill="accent3" w:themeFillShade="99"/>
      </w:tcPr>
    </w:tblStylePr>
    <w:tblStylePr w:type="band1Vert">
      <w:tblPr/>
      <w:tcPr>
        <w:shd w:val="clear" w:color="auto" w:fill="D1CABE" w:themeFill="accent3" w:themeFillTint="66"/>
      </w:tcPr>
    </w:tblStylePr>
    <w:tblStylePr w:type="band1Horz">
      <w:tblPr/>
      <w:tcPr>
        <w:shd w:val="clear" w:color="auto" w:fill="C6BDAE"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897B61" w:themeColor="accent3"/>
        <w:left w:val="single" w:sz="4" w:space="0" w:color="8DAB8E" w:themeColor="accent4"/>
        <w:bottom w:val="single" w:sz="4" w:space="0" w:color="8DAB8E" w:themeColor="accent4"/>
        <w:right w:val="single" w:sz="4" w:space="0" w:color="8DAB8E" w:themeColor="accent4"/>
        <w:insideH w:val="single" w:sz="4" w:space="0" w:color="FFFFFF" w:themeColor="background1"/>
        <w:insideV w:val="single" w:sz="4" w:space="0" w:color="FFFFFF" w:themeColor="background1"/>
      </w:tblBorders>
    </w:tblPr>
    <w:tcPr>
      <w:shd w:val="clear" w:color="auto" w:fill="F3F6F3" w:themeFill="accent4" w:themeFillTint="19"/>
    </w:tcPr>
    <w:tblStylePr w:type="firstRow">
      <w:rPr>
        <w:b/>
        <w:bCs/>
      </w:rPr>
      <w:tblPr/>
      <w:tcPr>
        <w:tcBorders>
          <w:top w:val="nil"/>
          <w:left w:val="nil"/>
          <w:bottom w:val="single" w:sz="24" w:space="0" w:color="897B6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6B50" w:themeFill="accent4" w:themeFillShade="99"/>
      </w:tcPr>
    </w:tblStylePr>
    <w:tblStylePr w:type="firstCol">
      <w:rPr>
        <w:color w:val="FFFFFF" w:themeColor="background1"/>
      </w:rPr>
      <w:tblPr/>
      <w:tcPr>
        <w:tcBorders>
          <w:top w:val="nil"/>
          <w:left w:val="nil"/>
          <w:bottom w:val="nil"/>
          <w:right w:val="nil"/>
          <w:insideH w:val="single" w:sz="4" w:space="0" w:color="4F6B50" w:themeColor="accent4" w:themeShade="99"/>
          <w:insideV w:val="nil"/>
        </w:tcBorders>
        <w:shd w:val="clear" w:color="auto" w:fill="4F6B5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F6B50" w:themeFill="accent4" w:themeFillShade="99"/>
      </w:tcPr>
    </w:tblStylePr>
    <w:tblStylePr w:type="band1Vert">
      <w:tblPr/>
      <w:tcPr>
        <w:shd w:val="clear" w:color="auto" w:fill="D1DDD1" w:themeFill="accent4" w:themeFillTint="66"/>
      </w:tcPr>
    </w:tblStylePr>
    <w:tblStylePr w:type="band1Horz">
      <w:tblPr/>
      <w:tcPr>
        <w:shd w:val="clear" w:color="auto" w:fill="C6D5C6"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E28394" w:themeColor="accent6"/>
        <w:left w:val="single" w:sz="4" w:space="0" w:color="77A2BB" w:themeColor="accent5"/>
        <w:bottom w:val="single" w:sz="4" w:space="0" w:color="77A2BB" w:themeColor="accent5"/>
        <w:right w:val="single" w:sz="4" w:space="0" w:color="77A2BB" w:themeColor="accent5"/>
        <w:insideH w:val="single" w:sz="4" w:space="0" w:color="FFFFFF" w:themeColor="background1"/>
        <w:insideV w:val="single" w:sz="4" w:space="0" w:color="FFFFFF" w:themeColor="background1"/>
      </w:tblBorders>
    </w:tblPr>
    <w:tcPr>
      <w:shd w:val="clear" w:color="auto" w:fill="F1F5F8" w:themeFill="accent5" w:themeFillTint="19"/>
    </w:tcPr>
    <w:tblStylePr w:type="firstRow">
      <w:rPr>
        <w:b/>
        <w:bCs/>
      </w:rPr>
      <w:tblPr/>
      <w:tcPr>
        <w:tcBorders>
          <w:top w:val="nil"/>
          <w:left w:val="nil"/>
          <w:bottom w:val="single" w:sz="24" w:space="0" w:color="E2839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637A" w:themeFill="accent5" w:themeFillShade="99"/>
      </w:tcPr>
    </w:tblStylePr>
    <w:tblStylePr w:type="firstCol">
      <w:rPr>
        <w:color w:val="FFFFFF" w:themeColor="background1"/>
      </w:rPr>
      <w:tblPr/>
      <w:tcPr>
        <w:tcBorders>
          <w:top w:val="nil"/>
          <w:left w:val="nil"/>
          <w:bottom w:val="nil"/>
          <w:right w:val="nil"/>
          <w:insideH w:val="single" w:sz="4" w:space="0" w:color="3D637A" w:themeColor="accent5" w:themeShade="99"/>
          <w:insideV w:val="nil"/>
        </w:tcBorders>
        <w:shd w:val="clear" w:color="auto" w:fill="3D637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D637A" w:themeFill="accent5" w:themeFillShade="99"/>
      </w:tcPr>
    </w:tblStylePr>
    <w:tblStylePr w:type="band1Vert">
      <w:tblPr/>
      <w:tcPr>
        <w:shd w:val="clear" w:color="auto" w:fill="C8D9E3" w:themeFill="accent5" w:themeFillTint="66"/>
      </w:tcPr>
    </w:tblStylePr>
    <w:tblStylePr w:type="band1Horz">
      <w:tblPr/>
      <w:tcPr>
        <w:shd w:val="clear" w:color="auto" w:fill="BBD0DD"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77A2BB" w:themeColor="accent5"/>
        <w:left w:val="single" w:sz="4" w:space="0" w:color="E28394" w:themeColor="accent6"/>
        <w:bottom w:val="single" w:sz="4" w:space="0" w:color="E28394" w:themeColor="accent6"/>
        <w:right w:val="single" w:sz="4" w:space="0" w:color="E28394" w:themeColor="accent6"/>
        <w:insideH w:val="single" w:sz="4" w:space="0" w:color="FFFFFF" w:themeColor="background1"/>
        <w:insideV w:val="single" w:sz="4" w:space="0" w:color="FFFFFF" w:themeColor="background1"/>
      </w:tblBorders>
    </w:tblPr>
    <w:tcPr>
      <w:shd w:val="clear" w:color="auto" w:fill="FCF2F4" w:themeFill="accent6" w:themeFillTint="19"/>
    </w:tcPr>
    <w:tblStylePr w:type="firstRow">
      <w:rPr>
        <w:b/>
        <w:bCs/>
      </w:rPr>
      <w:tblPr/>
      <w:tcPr>
        <w:tcBorders>
          <w:top w:val="nil"/>
          <w:left w:val="nil"/>
          <w:bottom w:val="single" w:sz="24" w:space="0" w:color="77A2B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D2840" w:themeFill="accent6" w:themeFillShade="99"/>
      </w:tcPr>
    </w:tblStylePr>
    <w:tblStylePr w:type="firstCol">
      <w:rPr>
        <w:color w:val="FFFFFF" w:themeColor="background1"/>
      </w:rPr>
      <w:tblPr/>
      <w:tcPr>
        <w:tcBorders>
          <w:top w:val="nil"/>
          <w:left w:val="nil"/>
          <w:bottom w:val="nil"/>
          <w:right w:val="nil"/>
          <w:insideH w:val="single" w:sz="4" w:space="0" w:color="AD2840" w:themeColor="accent6" w:themeShade="99"/>
          <w:insideV w:val="nil"/>
        </w:tcBorders>
        <w:shd w:val="clear" w:color="auto" w:fill="AD284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AD2840" w:themeFill="accent6" w:themeFillShade="99"/>
      </w:tcPr>
    </w:tblStylePr>
    <w:tblStylePr w:type="band1Vert">
      <w:tblPr/>
      <w:tcPr>
        <w:shd w:val="clear" w:color="auto" w:fill="F3CDD3" w:themeFill="accent6" w:themeFillTint="66"/>
      </w:tcPr>
    </w:tblStylePr>
    <w:tblStylePr w:type="band1Horz">
      <w:tblPr/>
      <w:tcPr>
        <w:shd w:val="clear" w:color="auto" w:fill="F0C1C9"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CA72F" w:themeFill="accent2" w:themeFillShade="CC"/>
      </w:tcPr>
    </w:tblStylePr>
    <w:tblStylePr w:type="lastRow">
      <w:rPr>
        <w:b/>
        <w:bCs/>
        <w:color w:val="DCA72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F3F3F2" w:themeFill="accent1" w:themeFillTint="19"/>
    </w:tcPr>
    <w:tblStylePr w:type="firstRow">
      <w:rPr>
        <w:b/>
        <w:bCs/>
        <w:color w:val="FFFFFF" w:themeColor="background1"/>
      </w:rPr>
      <w:tblPr/>
      <w:tcPr>
        <w:tcBorders>
          <w:bottom w:val="single" w:sz="12" w:space="0" w:color="FFFFFF" w:themeColor="background1"/>
        </w:tcBorders>
        <w:shd w:val="clear" w:color="auto" w:fill="DCA72F" w:themeFill="accent2" w:themeFillShade="CC"/>
      </w:tcPr>
    </w:tblStylePr>
    <w:tblStylePr w:type="lastRow">
      <w:rPr>
        <w:b/>
        <w:bCs/>
        <w:color w:val="DCA72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E2E0" w:themeFill="accent1" w:themeFillTint="3F"/>
      </w:tcPr>
    </w:tblStylePr>
    <w:tblStylePr w:type="band1Horz">
      <w:tblPr/>
      <w:tcPr>
        <w:shd w:val="clear" w:color="auto" w:fill="E8E8E6"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CF8F0" w:themeFill="accent2" w:themeFillTint="19"/>
    </w:tcPr>
    <w:tblStylePr w:type="firstRow">
      <w:rPr>
        <w:b/>
        <w:bCs/>
        <w:color w:val="FFFFFF" w:themeColor="background1"/>
      </w:rPr>
      <w:tblPr/>
      <w:tcPr>
        <w:tcBorders>
          <w:bottom w:val="single" w:sz="12" w:space="0" w:color="FFFFFF" w:themeColor="background1"/>
        </w:tcBorders>
        <w:shd w:val="clear" w:color="auto" w:fill="DCA72F" w:themeFill="accent2" w:themeFillShade="CC"/>
      </w:tcPr>
    </w:tblStylePr>
    <w:tblStylePr w:type="lastRow">
      <w:rPr>
        <w:b/>
        <w:bCs/>
        <w:color w:val="DCA72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EFD9" w:themeFill="accent2" w:themeFillTint="3F"/>
      </w:tcPr>
    </w:tblStylePr>
    <w:tblStylePr w:type="band1Horz">
      <w:tblPr/>
      <w:tcPr>
        <w:shd w:val="clear" w:color="auto" w:fill="FAF2E1"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3F2EF" w:themeFill="accent3" w:themeFillTint="19"/>
    </w:tcPr>
    <w:tblStylePr w:type="firstRow">
      <w:rPr>
        <w:b/>
        <w:bCs/>
        <w:color w:val="FFFFFF" w:themeColor="background1"/>
      </w:rPr>
      <w:tblPr/>
      <w:tcPr>
        <w:tcBorders>
          <w:bottom w:val="single" w:sz="12" w:space="0" w:color="FFFFFF" w:themeColor="background1"/>
        </w:tcBorders>
        <w:shd w:val="clear" w:color="auto" w:fill="6A8F6B" w:themeFill="accent4" w:themeFillShade="CC"/>
      </w:tcPr>
    </w:tblStylePr>
    <w:tblStylePr w:type="lastRow">
      <w:rPr>
        <w:b/>
        <w:bCs/>
        <w:color w:val="6A8F6B"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DED7" w:themeFill="accent3" w:themeFillTint="3F"/>
      </w:tcPr>
    </w:tblStylePr>
    <w:tblStylePr w:type="band1Horz">
      <w:tblPr/>
      <w:tcPr>
        <w:shd w:val="clear" w:color="auto" w:fill="E8E4DE"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3F6F3" w:themeFill="accent4" w:themeFillTint="19"/>
    </w:tcPr>
    <w:tblStylePr w:type="firstRow">
      <w:rPr>
        <w:b/>
        <w:bCs/>
        <w:color w:val="FFFFFF" w:themeColor="background1"/>
      </w:rPr>
      <w:tblPr/>
      <w:tcPr>
        <w:tcBorders>
          <w:bottom w:val="single" w:sz="12" w:space="0" w:color="FFFFFF" w:themeColor="background1"/>
        </w:tcBorders>
        <w:shd w:val="clear" w:color="auto" w:fill="6D624D" w:themeFill="accent3" w:themeFillShade="CC"/>
      </w:tcPr>
    </w:tblStylePr>
    <w:tblStylePr w:type="lastRow">
      <w:rPr>
        <w:b/>
        <w:bCs/>
        <w:color w:val="6D624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EAE2" w:themeFill="accent4" w:themeFillTint="3F"/>
      </w:tcPr>
    </w:tblStylePr>
    <w:tblStylePr w:type="band1Horz">
      <w:tblPr/>
      <w:tcPr>
        <w:shd w:val="clear" w:color="auto" w:fill="E8EEE8"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F1F5F8" w:themeFill="accent5" w:themeFillTint="19"/>
    </w:tcPr>
    <w:tblStylePr w:type="firstRow">
      <w:rPr>
        <w:b/>
        <w:bCs/>
        <w:color w:val="FFFFFF" w:themeColor="background1"/>
      </w:rPr>
      <w:tblPr/>
      <w:tcPr>
        <w:tcBorders>
          <w:bottom w:val="single" w:sz="12" w:space="0" w:color="FFFFFF" w:themeColor="background1"/>
        </w:tcBorders>
        <w:shd w:val="clear" w:color="auto" w:fill="D44861" w:themeFill="accent6" w:themeFillShade="CC"/>
      </w:tcPr>
    </w:tblStylePr>
    <w:tblStylePr w:type="lastRow">
      <w:rPr>
        <w:b/>
        <w:bCs/>
        <w:color w:val="D4486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E7EE" w:themeFill="accent5" w:themeFillTint="3F"/>
      </w:tcPr>
    </w:tblStylePr>
    <w:tblStylePr w:type="band1Horz">
      <w:tblPr/>
      <w:tcPr>
        <w:shd w:val="clear" w:color="auto" w:fill="E3ECF1"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CF2F4" w:themeFill="accent6" w:themeFillTint="19"/>
    </w:tcPr>
    <w:tblStylePr w:type="firstRow">
      <w:rPr>
        <w:b/>
        <w:bCs/>
        <w:color w:val="FFFFFF" w:themeColor="background1"/>
      </w:rPr>
      <w:tblPr/>
      <w:tcPr>
        <w:tcBorders>
          <w:bottom w:val="single" w:sz="12" w:space="0" w:color="FFFFFF" w:themeColor="background1"/>
        </w:tcBorders>
        <w:shd w:val="clear" w:color="auto" w:fill="5185A3" w:themeFill="accent5" w:themeFillShade="CC"/>
      </w:tcPr>
    </w:tblStylePr>
    <w:tblStylePr w:type="lastRow">
      <w:rPr>
        <w:b/>
        <w:bCs/>
        <w:color w:val="5185A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E0E4" w:themeFill="accent6" w:themeFillTint="3F"/>
      </w:tcPr>
    </w:tblStylePr>
    <w:tblStylePr w:type="band1Horz">
      <w:tblPr/>
      <w:tcPr>
        <w:shd w:val="clear" w:color="auto" w:fill="F9E6E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E8E6" w:themeFill="accent1" w:themeFillTint="33"/>
    </w:tcPr>
    <w:tblStylePr w:type="firstRow">
      <w:rPr>
        <w:b/>
        <w:bCs/>
      </w:rPr>
      <w:tblPr/>
      <w:tcPr>
        <w:shd w:val="clear" w:color="auto" w:fill="D1D1CE" w:themeFill="accent1" w:themeFillTint="66"/>
      </w:tcPr>
    </w:tblStylePr>
    <w:tblStylePr w:type="lastRow">
      <w:rPr>
        <w:b/>
        <w:bCs/>
        <w:color w:val="000000" w:themeColor="text1"/>
      </w:rPr>
      <w:tblPr/>
      <w:tcPr>
        <w:shd w:val="clear" w:color="auto" w:fill="D1D1CE" w:themeFill="accent1" w:themeFillTint="66"/>
      </w:tcPr>
    </w:tblStylePr>
    <w:tblStylePr w:type="firstCol">
      <w:rPr>
        <w:color w:val="FFFFFF" w:themeColor="background1"/>
      </w:rPr>
      <w:tblPr/>
      <w:tcPr>
        <w:shd w:val="clear" w:color="auto" w:fill="686963" w:themeFill="accent1" w:themeFillShade="BF"/>
      </w:tcPr>
    </w:tblStylePr>
    <w:tblStylePr w:type="lastCol">
      <w:rPr>
        <w:color w:val="FFFFFF" w:themeColor="background1"/>
      </w:rPr>
      <w:tblPr/>
      <w:tcPr>
        <w:shd w:val="clear" w:color="auto" w:fill="686963" w:themeFill="accent1" w:themeFillShade="BF"/>
      </w:tcPr>
    </w:tblStylePr>
    <w:tblStylePr w:type="band1Vert">
      <w:tblPr/>
      <w:tcPr>
        <w:shd w:val="clear" w:color="auto" w:fill="C5C6C2" w:themeFill="accent1" w:themeFillTint="7F"/>
      </w:tcPr>
    </w:tblStylePr>
    <w:tblStylePr w:type="band1Horz">
      <w:tblPr/>
      <w:tcPr>
        <w:shd w:val="clear" w:color="auto" w:fill="C5C6C2"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F2E1" w:themeFill="accent2" w:themeFillTint="33"/>
    </w:tcPr>
    <w:tblStylePr w:type="firstRow">
      <w:rPr>
        <w:b/>
        <w:bCs/>
      </w:rPr>
      <w:tblPr/>
      <w:tcPr>
        <w:shd w:val="clear" w:color="auto" w:fill="F5E5C3" w:themeFill="accent2" w:themeFillTint="66"/>
      </w:tcPr>
    </w:tblStylePr>
    <w:tblStylePr w:type="lastRow">
      <w:rPr>
        <w:b/>
        <w:bCs/>
        <w:color w:val="000000" w:themeColor="text1"/>
      </w:rPr>
      <w:tblPr/>
      <w:tcPr>
        <w:shd w:val="clear" w:color="auto" w:fill="F5E5C3" w:themeFill="accent2" w:themeFillTint="66"/>
      </w:tcPr>
    </w:tblStylePr>
    <w:tblStylePr w:type="firstCol">
      <w:rPr>
        <w:color w:val="FFFFFF" w:themeColor="background1"/>
      </w:rPr>
      <w:tblPr/>
      <w:tcPr>
        <w:shd w:val="clear" w:color="auto" w:fill="D6A024" w:themeFill="accent2" w:themeFillShade="BF"/>
      </w:tcPr>
    </w:tblStylePr>
    <w:tblStylePr w:type="lastCol">
      <w:rPr>
        <w:color w:val="FFFFFF" w:themeColor="background1"/>
      </w:rPr>
      <w:tblPr/>
      <w:tcPr>
        <w:shd w:val="clear" w:color="auto" w:fill="D6A024" w:themeFill="accent2" w:themeFillShade="BF"/>
      </w:tcPr>
    </w:tblStylePr>
    <w:tblStylePr w:type="band1Vert">
      <w:tblPr/>
      <w:tcPr>
        <w:shd w:val="clear" w:color="auto" w:fill="F2DFB4" w:themeFill="accent2" w:themeFillTint="7F"/>
      </w:tcPr>
    </w:tblStylePr>
    <w:tblStylePr w:type="band1Horz">
      <w:tblPr/>
      <w:tcPr>
        <w:shd w:val="clear" w:color="auto" w:fill="F2DFB4"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E4DE" w:themeFill="accent3" w:themeFillTint="33"/>
    </w:tcPr>
    <w:tblStylePr w:type="firstRow">
      <w:rPr>
        <w:b/>
        <w:bCs/>
      </w:rPr>
      <w:tblPr/>
      <w:tcPr>
        <w:shd w:val="clear" w:color="auto" w:fill="D1CABE" w:themeFill="accent3" w:themeFillTint="66"/>
      </w:tcPr>
    </w:tblStylePr>
    <w:tblStylePr w:type="lastRow">
      <w:rPr>
        <w:b/>
        <w:bCs/>
        <w:color w:val="000000" w:themeColor="text1"/>
      </w:rPr>
      <w:tblPr/>
      <w:tcPr>
        <w:shd w:val="clear" w:color="auto" w:fill="D1CABE" w:themeFill="accent3" w:themeFillTint="66"/>
      </w:tcPr>
    </w:tblStylePr>
    <w:tblStylePr w:type="firstCol">
      <w:rPr>
        <w:color w:val="FFFFFF" w:themeColor="background1"/>
      </w:rPr>
      <w:tblPr/>
      <w:tcPr>
        <w:shd w:val="clear" w:color="auto" w:fill="665B48" w:themeFill="accent3" w:themeFillShade="BF"/>
      </w:tcPr>
    </w:tblStylePr>
    <w:tblStylePr w:type="lastCol">
      <w:rPr>
        <w:color w:val="FFFFFF" w:themeColor="background1"/>
      </w:rPr>
      <w:tblPr/>
      <w:tcPr>
        <w:shd w:val="clear" w:color="auto" w:fill="665B48" w:themeFill="accent3" w:themeFillShade="BF"/>
      </w:tcPr>
    </w:tblStylePr>
    <w:tblStylePr w:type="band1Vert">
      <w:tblPr/>
      <w:tcPr>
        <w:shd w:val="clear" w:color="auto" w:fill="C6BDAE" w:themeFill="accent3" w:themeFillTint="7F"/>
      </w:tcPr>
    </w:tblStylePr>
    <w:tblStylePr w:type="band1Horz">
      <w:tblPr/>
      <w:tcPr>
        <w:shd w:val="clear" w:color="auto" w:fill="C6BDAE"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EEE8" w:themeFill="accent4" w:themeFillTint="33"/>
    </w:tcPr>
    <w:tblStylePr w:type="firstRow">
      <w:rPr>
        <w:b/>
        <w:bCs/>
      </w:rPr>
      <w:tblPr/>
      <w:tcPr>
        <w:shd w:val="clear" w:color="auto" w:fill="D1DDD1" w:themeFill="accent4" w:themeFillTint="66"/>
      </w:tcPr>
    </w:tblStylePr>
    <w:tblStylePr w:type="lastRow">
      <w:rPr>
        <w:b/>
        <w:bCs/>
        <w:color w:val="000000" w:themeColor="text1"/>
      </w:rPr>
      <w:tblPr/>
      <w:tcPr>
        <w:shd w:val="clear" w:color="auto" w:fill="D1DDD1" w:themeFill="accent4" w:themeFillTint="66"/>
      </w:tcPr>
    </w:tblStylePr>
    <w:tblStylePr w:type="firstCol">
      <w:rPr>
        <w:color w:val="FFFFFF" w:themeColor="background1"/>
      </w:rPr>
      <w:tblPr/>
      <w:tcPr>
        <w:shd w:val="clear" w:color="auto" w:fill="638664" w:themeFill="accent4" w:themeFillShade="BF"/>
      </w:tcPr>
    </w:tblStylePr>
    <w:tblStylePr w:type="lastCol">
      <w:rPr>
        <w:color w:val="FFFFFF" w:themeColor="background1"/>
      </w:rPr>
      <w:tblPr/>
      <w:tcPr>
        <w:shd w:val="clear" w:color="auto" w:fill="638664" w:themeFill="accent4" w:themeFillShade="BF"/>
      </w:tcPr>
    </w:tblStylePr>
    <w:tblStylePr w:type="band1Vert">
      <w:tblPr/>
      <w:tcPr>
        <w:shd w:val="clear" w:color="auto" w:fill="C6D5C6" w:themeFill="accent4" w:themeFillTint="7F"/>
      </w:tcPr>
    </w:tblStylePr>
    <w:tblStylePr w:type="band1Horz">
      <w:tblPr/>
      <w:tcPr>
        <w:shd w:val="clear" w:color="auto" w:fill="C6D5C6"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CF1" w:themeFill="accent5" w:themeFillTint="33"/>
    </w:tcPr>
    <w:tblStylePr w:type="firstRow">
      <w:rPr>
        <w:b/>
        <w:bCs/>
      </w:rPr>
      <w:tblPr/>
      <w:tcPr>
        <w:shd w:val="clear" w:color="auto" w:fill="C8D9E3" w:themeFill="accent5" w:themeFillTint="66"/>
      </w:tcPr>
    </w:tblStylePr>
    <w:tblStylePr w:type="lastRow">
      <w:rPr>
        <w:b/>
        <w:bCs/>
        <w:color w:val="000000" w:themeColor="text1"/>
      </w:rPr>
      <w:tblPr/>
      <w:tcPr>
        <w:shd w:val="clear" w:color="auto" w:fill="C8D9E3" w:themeFill="accent5" w:themeFillTint="66"/>
      </w:tcPr>
    </w:tblStylePr>
    <w:tblStylePr w:type="firstCol">
      <w:rPr>
        <w:color w:val="FFFFFF" w:themeColor="background1"/>
      </w:rPr>
      <w:tblPr/>
      <w:tcPr>
        <w:shd w:val="clear" w:color="auto" w:fill="4C7C98" w:themeFill="accent5" w:themeFillShade="BF"/>
      </w:tcPr>
    </w:tblStylePr>
    <w:tblStylePr w:type="lastCol">
      <w:rPr>
        <w:color w:val="FFFFFF" w:themeColor="background1"/>
      </w:rPr>
      <w:tblPr/>
      <w:tcPr>
        <w:shd w:val="clear" w:color="auto" w:fill="4C7C98" w:themeFill="accent5" w:themeFillShade="BF"/>
      </w:tcPr>
    </w:tblStylePr>
    <w:tblStylePr w:type="band1Vert">
      <w:tblPr/>
      <w:tcPr>
        <w:shd w:val="clear" w:color="auto" w:fill="BBD0DD" w:themeFill="accent5" w:themeFillTint="7F"/>
      </w:tcPr>
    </w:tblStylePr>
    <w:tblStylePr w:type="band1Horz">
      <w:tblPr/>
      <w:tcPr>
        <w:shd w:val="clear" w:color="auto" w:fill="BBD0DD"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E6E9" w:themeFill="accent6" w:themeFillTint="33"/>
    </w:tcPr>
    <w:tblStylePr w:type="firstRow">
      <w:rPr>
        <w:b/>
        <w:bCs/>
      </w:rPr>
      <w:tblPr/>
      <w:tcPr>
        <w:shd w:val="clear" w:color="auto" w:fill="F3CDD3" w:themeFill="accent6" w:themeFillTint="66"/>
      </w:tcPr>
    </w:tblStylePr>
    <w:tblStylePr w:type="lastRow">
      <w:rPr>
        <w:b/>
        <w:bCs/>
        <w:color w:val="000000" w:themeColor="text1"/>
      </w:rPr>
      <w:tblPr/>
      <w:tcPr>
        <w:shd w:val="clear" w:color="auto" w:fill="F3CDD3" w:themeFill="accent6" w:themeFillTint="66"/>
      </w:tcPr>
    </w:tblStylePr>
    <w:tblStylePr w:type="firstCol">
      <w:rPr>
        <w:color w:val="FFFFFF" w:themeColor="background1"/>
      </w:rPr>
      <w:tblPr/>
      <w:tcPr>
        <w:shd w:val="clear" w:color="auto" w:fill="D13A54" w:themeFill="accent6" w:themeFillShade="BF"/>
      </w:tcPr>
    </w:tblStylePr>
    <w:tblStylePr w:type="lastCol">
      <w:rPr>
        <w:color w:val="FFFFFF" w:themeColor="background1"/>
      </w:rPr>
      <w:tblPr/>
      <w:tcPr>
        <w:shd w:val="clear" w:color="auto" w:fill="D13A54" w:themeFill="accent6" w:themeFillShade="BF"/>
      </w:tcPr>
    </w:tblStylePr>
    <w:tblStylePr w:type="band1Vert">
      <w:tblPr/>
      <w:tcPr>
        <w:shd w:val="clear" w:color="auto" w:fill="F0C1C9" w:themeFill="accent6" w:themeFillTint="7F"/>
      </w:tcPr>
    </w:tblStylePr>
    <w:tblStylePr w:type="band1Horz">
      <w:tblPr/>
      <w:tcPr>
        <w:shd w:val="clear" w:color="auto" w:fill="F0C1C9"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トリミング">
  <a:themeElements>
    <a:clrScheme name="トリミング">
      <a:dk1>
        <a:sysClr val="windowText" lastClr="000000"/>
      </a:dk1>
      <a:lt1>
        <a:sysClr val="window" lastClr="FFFFFF"/>
      </a:lt1>
      <a:dk2>
        <a:srgbClr val="191B0E"/>
      </a:dk2>
      <a:lt2>
        <a:srgbClr val="EFEDE3"/>
      </a:lt2>
      <a:accent1>
        <a:srgbClr val="8C8D86"/>
      </a:accent1>
      <a:accent2>
        <a:srgbClr val="E6C069"/>
      </a:accent2>
      <a:accent3>
        <a:srgbClr val="897B61"/>
      </a:accent3>
      <a:accent4>
        <a:srgbClr val="8DAB8E"/>
      </a:accent4>
      <a:accent5>
        <a:srgbClr val="77A2BB"/>
      </a:accent5>
      <a:accent6>
        <a:srgbClr val="E28394"/>
      </a:accent6>
      <a:hlink>
        <a:srgbClr val="77A2BB"/>
      </a:hlink>
      <a:folHlink>
        <a:srgbClr val="957A99"/>
      </a:folHlink>
    </a:clrScheme>
    <a:fontScheme name="トリミング">
      <a:majorFont>
        <a:latin typeface="Franklin Gothic Book" panose="020B0503020102020204"/>
        <a:ea typeface=""/>
        <a:cs typeface=""/>
        <a:font script="Jpan" typeface="メイリオ"/>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Franklin Gothic Book" panose="020B0503020102020204"/>
        <a:ea typeface=""/>
        <a:cs typeface=""/>
        <a:font script="Jpan" typeface="メイリオ"/>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トリミング">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680</Words>
  <Characters>3878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中野教室 ネスコム</cp:lastModifiedBy>
  <cp:revision>3</cp:revision>
  <dcterms:created xsi:type="dcterms:W3CDTF">2013-12-23T23:15:00Z</dcterms:created>
  <dcterms:modified xsi:type="dcterms:W3CDTF">2026-09-13T22:18:00Z</dcterms:modified>
  <cp:category/>
</cp:coreProperties>
</file>